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DEE56">
      <w:pPr>
        <w:topLinePunct/>
        <w:spacing w:line="360" w:lineRule="auto"/>
        <w:jc w:val="center"/>
        <w:rPr>
          <w:rFonts w:eastAsiaTheme="minorEastAsia"/>
          <w:b/>
          <w:sz w:val="44"/>
          <w:szCs w:val="44"/>
        </w:rPr>
      </w:pPr>
    </w:p>
    <w:p w14:paraId="1FF62EE7">
      <w:pPr>
        <w:topLinePunct/>
        <w:spacing w:line="360" w:lineRule="auto"/>
        <w:jc w:val="center"/>
        <w:rPr>
          <w:rFonts w:eastAsiaTheme="minorEastAsia"/>
          <w:b/>
          <w:sz w:val="44"/>
          <w:szCs w:val="44"/>
        </w:rPr>
      </w:pPr>
    </w:p>
    <w:p w14:paraId="4FDDE306">
      <w:pPr>
        <w:topLinePunct/>
        <w:spacing w:line="360" w:lineRule="auto"/>
        <w:jc w:val="center"/>
        <w:rPr>
          <w:rFonts w:eastAsiaTheme="minorEastAsia"/>
          <w:b/>
          <w:sz w:val="44"/>
          <w:szCs w:val="48"/>
        </w:rPr>
      </w:pPr>
    </w:p>
    <w:p w14:paraId="4BE43C9A">
      <w:pPr>
        <w:topLinePunct/>
        <w:spacing w:line="360" w:lineRule="auto"/>
        <w:jc w:val="center"/>
        <w:rPr>
          <w:rFonts w:eastAsia="方正小标宋简体"/>
          <w:bCs/>
          <w:sz w:val="44"/>
          <w:szCs w:val="44"/>
        </w:rPr>
      </w:pPr>
      <w:r>
        <w:rPr>
          <w:rFonts w:eastAsia="方正小标宋简体"/>
          <w:bCs/>
          <w:sz w:val="44"/>
          <w:szCs w:val="48"/>
        </w:rPr>
        <w:t>温江区2026年农村宅基地和住房定位验线服务项目</w:t>
      </w:r>
    </w:p>
    <w:p w14:paraId="08C36C20">
      <w:pPr>
        <w:topLinePunct/>
        <w:spacing w:line="360" w:lineRule="auto"/>
        <w:jc w:val="center"/>
        <w:rPr>
          <w:rFonts w:eastAsiaTheme="minorEastAsia"/>
          <w:b/>
          <w:sz w:val="44"/>
          <w:szCs w:val="44"/>
        </w:rPr>
      </w:pPr>
    </w:p>
    <w:p w14:paraId="26A9976A">
      <w:pPr>
        <w:topLinePunct/>
        <w:spacing w:line="360" w:lineRule="auto"/>
        <w:jc w:val="center"/>
        <w:rPr>
          <w:rFonts w:eastAsiaTheme="minorEastAsia"/>
          <w:b/>
          <w:sz w:val="44"/>
          <w:szCs w:val="44"/>
        </w:rPr>
      </w:pPr>
    </w:p>
    <w:p w14:paraId="39AEAFF3">
      <w:pPr>
        <w:topLinePunct/>
        <w:spacing w:line="360" w:lineRule="auto"/>
        <w:jc w:val="center"/>
        <w:rPr>
          <w:rFonts w:eastAsiaTheme="minorEastAsia"/>
          <w:b/>
          <w:sz w:val="72"/>
          <w:szCs w:val="72"/>
        </w:rPr>
      </w:pPr>
      <w:r>
        <w:rPr>
          <w:rFonts w:eastAsiaTheme="minorEastAsia"/>
          <w:b/>
          <w:sz w:val="72"/>
          <w:szCs w:val="72"/>
        </w:rPr>
        <w:t>比</w:t>
      </w:r>
    </w:p>
    <w:p w14:paraId="5C969702">
      <w:pPr>
        <w:topLinePunct/>
        <w:spacing w:line="360" w:lineRule="auto"/>
        <w:jc w:val="center"/>
        <w:rPr>
          <w:rFonts w:eastAsiaTheme="minorEastAsia"/>
          <w:b/>
          <w:sz w:val="72"/>
          <w:szCs w:val="72"/>
        </w:rPr>
      </w:pPr>
      <w:r>
        <w:rPr>
          <w:rFonts w:eastAsiaTheme="minorEastAsia"/>
          <w:b/>
          <w:sz w:val="72"/>
          <w:szCs w:val="72"/>
        </w:rPr>
        <w:t>选</w:t>
      </w:r>
    </w:p>
    <w:p w14:paraId="0DEA213A">
      <w:pPr>
        <w:topLinePunct/>
        <w:spacing w:line="360" w:lineRule="auto"/>
        <w:jc w:val="center"/>
        <w:rPr>
          <w:rFonts w:eastAsiaTheme="minorEastAsia"/>
          <w:b/>
          <w:sz w:val="72"/>
          <w:szCs w:val="72"/>
        </w:rPr>
      </w:pPr>
      <w:r>
        <w:rPr>
          <w:rFonts w:eastAsiaTheme="minorEastAsia"/>
          <w:b/>
          <w:sz w:val="72"/>
          <w:szCs w:val="72"/>
        </w:rPr>
        <w:t>文</w:t>
      </w:r>
    </w:p>
    <w:p w14:paraId="13C8F807">
      <w:pPr>
        <w:topLinePunct/>
        <w:spacing w:line="360" w:lineRule="auto"/>
        <w:jc w:val="center"/>
        <w:rPr>
          <w:rFonts w:eastAsiaTheme="minorEastAsia"/>
          <w:b/>
          <w:sz w:val="72"/>
          <w:szCs w:val="72"/>
        </w:rPr>
      </w:pPr>
      <w:r>
        <w:rPr>
          <w:rFonts w:eastAsiaTheme="minorEastAsia"/>
          <w:b/>
          <w:sz w:val="72"/>
          <w:szCs w:val="72"/>
        </w:rPr>
        <w:t>件</w:t>
      </w:r>
    </w:p>
    <w:p w14:paraId="0C772C0C">
      <w:pPr>
        <w:topLinePunct/>
        <w:spacing w:line="360" w:lineRule="auto"/>
        <w:jc w:val="center"/>
        <w:rPr>
          <w:rFonts w:eastAsiaTheme="minorEastAsia"/>
          <w:b/>
          <w:sz w:val="44"/>
          <w:szCs w:val="44"/>
        </w:rPr>
      </w:pPr>
    </w:p>
    <w:p w14:paraId="4B79148E">
      <w:pPr>
        <w:topLinePunct/>
        <w:spacing w:line="360" w:lineRule="auto"/>
        <w:jc w:val="center"/>
        <w:rPr>
          <w:rFonts w:eastAsiaTheme="minorEastAsia"/>
          <w:b/>
          <w:sz w:val="44"/>
          <w:szCs w:val="44"/>
        </w:rPr>
      </w:pPr>
    </w:p>
    <w:p w14:paraId="45C13A95">
      <w:pPr>
        <w:topLinePunct/>
        <w:spacing w:line="360" w:lineRule="auto"/>
        <w:jc w:val="center"/>
        <w:rPr>
          <w:rFonts w:eastAsiaTheme="minorEastAsia"/>
          <w:b/>
          <w:sz w:val="36"/>
          <w:szCs w:val="36"/>
        </w:rPr>
      </w:pPr>
    </w:p>
    <w:p w14:paraId="639D8A83">
      <w:pPr>
        <w:topLinePunct/>
        <w:spacing w:line="360" w:lineRule="auto"/>
        <w:jc w:val="center"/>
        <w:rPr>
          <w:rFonts w:eastAsiaTheme="minorEastAsia"/>
          <w:b/>
          <w:sz w:val="36"/>
          <w:szCs w:val="36"/>
        </w:rPr>
      </w:pPr>
    </w:p>
    <w:p w14:paraId="2440B499">
      <w:pPr>
        <w:topLinePunct/>
        <w:spacing w:line="360" w:lineRule="auto"/>
        <w:jc w:val="center"/>
        <w:rPr>
          <w:rFonts w:eastAsia="方正小标宋简体"/>
          <w:bCs/>
          <w:sz w:val="32"/>
          <w:szCs w:val="32"/>
        </w:rPr>
      </w:pPr>
      <w:r>
        <w:rPr>
          <w:rFonts w:eastAsia="方正小标宋简体"/>
          <w:bCs/>
          <w:sz w:val="32"/>
          <w:szCs w:val="32"/>
        </w:rPr>
        <w:t>成都市温江区规划和自然资源局</w:t>
      </w:r>
    </w:p>
    <w:p w14:paraId="384505A4">
      <w:pPr>
        <w:topLinePunct/>
        <w:spacing w:line="360" w:lineRule="auto"/>
        <w:jc w:val="center"/>
        <w:rPr>
          <w:rFonts w:eastAsiaTheme="minorEastAsia"/>
          <w:b/>
          <w:sz w:val="32"/>
          <w:szCs w:val="32"/>
        </w:rPr>
      </w:pPr>
      <w:r>
        <w:rPr>
          <w:rFonts w:eastAsia="方正小标宋简体"/>
          <w:bCs/>
          <w:sz w:val="32"/>
          <w:szCs w:val="32"/>
        </w:rPr>
        <w:t>2026年10月</w:t>
      </w:r>
      <w:r>
        <w:rPr>
          <w:rFonts w:eastAsiaTheme="minorEastAsia"/>
          <w:b/>
          <w:sz w:val="32"/>
          <w:szCs w:val="32"/>
        </w:rPr>
        <w:br w:type="page"/>
      </w:r>
      <w:bookmarkStart w:id="0" w:name="_Toc317509380"/>
      <w:bookmarkStart w:id="1" w:name="_Toc317508987"/>
      <w:bookmarkStart w:id="2" w:name="_Toc325464811"/>
    </w:p>
    <w:p w14:paraId="5AE77387">
      <w:pPr>
        <w:topLinePunct/>
        <w:spacing w:line="360" w:lineRule="auto"/>
        <w:jc w:val="center"/>
        <w:rPr>
          <w:rFonts w:eastAsiaTheme="minorEastAsia"/>
          <w:b/>
          <w:sz w:val="32"/>
          <w:szCs w:val="32"/>
        </w:rPr>
      </w:pPr>
    </w:p>
    <w:p w14:paraId="134DBC4F">
      <w:pPr>
        <w:topLinePunct/>
        <w:spacing w:line="360" w:lineRule="auto"/>
        <w:jc w:val="center"/>
        <w:rPr>
          <w:rFonts w:eastAsiaTheme="minorEastAsia"/>
          <w:sz w:val="36"/>
          <w:szCs w:val="20"/>
        </w:rPr>
      </w:pPr>
      <w:r>
        <w:rPr>
          <w:rFonts w:eastAsiaTheme="minorEastAsia"/>
          <w:sz w:val="36"/>
          <w:szCs w:val="20"/>
        </w:rPr>
        <w:t>目    录</w:t>
      </w:r>
      <w:bookmarkEnd w:id="0"/>
      <w:bookmarkEnd w:id="1"/>
      <w:bookmarkEnd w:id="2"/>
    </w:p>
    <w:p w14:paraId="3009E873">
      <w:pPr>
        <w:topLinePunct/>
        <w:spacing w:line="360" w:lineRule="auto"/>
        <w:jc w:val="center"/>
        <w:rPr>
          <w:rFonts w:eastAsiaTheme="minorEastAsia"/>
          <w:sz w:val="36"/>
          <w:szCs w:val="20"/>
        </w:rPr>
      </w:pPr>
    </w:p>
    <w:p w14:paraId="7FD4074C">
      <w:pPr>
        <w:pStyle w:val="14"/>
        <w:tabs>
          <w:tab w:val="right" w:leader="dot" w:pos="8306"/>
        </w:tabs>
        <w:rPr>
          <w:rFonts w:hint="default" w:ascii="Times New Roman" w:hAnsi="Times New Roman" w:cs="Times New Roman"/>
          <w:sz w:val="32"/>
          <w:szCs w:val="40"/>
        </w:rPr>
      </w:pPr>
      <w:r>
        <w:rPr>
          <w:rFonts w:hint="default" w:ascii="Times New Roman" w:hAnsi="Times New Roman" w:cs="Times New Roman" w:eastAsiaTheme="minorEastAsia"/>
          <w:sz w:val="48"/>
          <w:szCs w:val="48"/>
        </w:rPr>
        <w:fldChar w:fldCharType="begin"/>
      </w:r>
      <w:r>
        <w:rPr>
          <w:rFonts w:hint="default" w:ascii="Times New Roman" w:hAnsi="Times New Roman" w:cs="Times New Roman" w:eastAsiaTheme="minorEastAsia"/>
          <w:sz w:val="48"/>
          <w:szCs w:val="48"/>
        </w:rPr>
        <w:instrText xml:space="preserve">TOC \o "1-1" \h \u </w:instrText>
      </w:r>
      <w:r>
        <w:rPr>
          <w:rFonts w:hint="default" w:ascii="Times New Roman" w:hAnsi="Times New Roman" w:cs="Times New Roman" w:eastAsiaTheme="minorEastAsia"/>
          <w:sz w:val="48"/>
          <w:szCs w:val="48"/>
        </w:rPr>
        <w:fldChar w:fldCharType="separate"/>
      </w:r>
      <w:r>
        <w:rPr>
          <w:rFonts w:hint="default" w:ascii="Times New Roman" w:hAnsi="Times New Roman" w:cs="Times New Roman" w:eastAsiaTheme="minorEastAsia"/>
          <w:sz w:val="32"/>
          <w:szCs w:val="48"/>
        </w:rPr>
        <w:fldChar w:fldCharType="begin"/>
      </w:r>
      <w:r>
        <w:rPr>
          <w:rFonts w:hint="default" w:ascii="Times New Roman" w:hAnsi="Times New Roman" w:cs="Times New Roman" w:eastAsiaTheme="minorEastAsia"/>
          <w:sz w:val="32"/>
          <w:szCs w:val="48"/>
        </w:rPr>
        <w:instrText xml:space="preserve"> HYPERLINK \l _Toc22513 </w:instrText>
      </w:r>
      <w:r>
        <w:rPr>
          <w:rFonts w:hint="default" w:ascii="Times New Roman" w:hAnsi="Times New Roman" w:cs="Times New Roman" w:eastAsiaTheme="minorEastAsia"/>
          <w:sz w:val="32"/>
          <w:szCs w:val="48"/>
        </w:rPr>
        <w:fldChar w:fldCharType="separate"/>
      </w:r>
      <w:r>
        <w:rPr>
          <w:rFonts w:hint="default" w:ascii="Times New Roman" w:hAnsi="Times New Roman" w:cs="Times New Roman" w:eastAsiaTheme="minorEastAsia"/>
          <w:sz w:val="32"/>
          <w:szCs w:val="40"/>
        </w:rPr>
        <w:t>第一章  比选公告</w:t>
      </w:r>
      <w:r>
        <w:rPr>
          <w:rFonts w:hint="default" w:ascii="Times New Roman" w:hAnsi="Times New Roman" w:cs="Times New Roman"/>
          <w:sz w:val="32"/>
          <w:szCs w:val="40"/>
        </w:rPr>
        <w:tab/>
      </w: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PAGEREF _Toc22513 \h </w:instrText>
      </w:r>
      <w:r>
        <w:rPr>
          <w:rFonts w:hint="default" w:ascii="Times New Roman" w:hAnsi="Times New Roman" w:cs="Times New Roman"/>
          <w:sz w:val="32"/>
          <w:szCs w:val="40"/>
        </w:rPr>
        <w:fldChar w:fldCharType="separate"/>
      </w:r>
      <w:r>
        <w:rPr>
          <w:rFonts w:hint="default" w:ascii="Times New Roman" w:hAnsi="Times New Roman" w:cs="Times New Roman"/>
          <w:sz w:val="32"/>
          <w:szCs w:val="40"/>
        </w:rPr>
        <w:t>- 3 -</w:t>
      </w:r>
      <w:r>
        <w:rPr>
          <w:rFonts w:hint="default" w:ascii="Times New Roman" w:hAnsi="Times New Roman" w:cs="Times New Roman"/>
          <w:sz w:val="32"/>
          <w:szCs w:val="40"/>
        </w:rPr>
        <w:fldChar w:fldCharType="end"/>
      </w:r>
      <w:r>
        <w:rPr>
          <w:rFonts w:hint="default" w:ascii="Times New Roman" w:hAnsi="Times New Roman" w:cs="Times New Roman" w:eastAsiaTheme="minorEastAsia"/>
          <w:sz w:val="32"/>
          <w:szCs w:val="48"/>
        </w:rPr>
        <w:fldChar w:fldCharType="end"/>
      </w:r>
    </w:p>
    <w:p w14:paraId="2D65138A">
      <w:pPr>
        <w:pStyle w:val="14"/>
        <w:tabs>
          <w:tab w:val="right" w:leader="dot" w:pos="8306"/>
        </w:tabs>
        <w:rPr>
          <w:rFonts w:hint="default" w:ascii="Times New Roman" w:hAnsi="Times New Roman" w:cs="Times New Roman"/>
          <w:sz w:val="32"/>
          <w:szCs w:val="40"/>
        </w:rPr>
      </w:pPr>
      <w:r>
        <w:rPr>
          <w:rFonts w:hint="default" w:ascii="Times New Roman" w:hAnsi="Times New Roman" w:cs="Times New Roman" w:eastAsiaTheme="minorEastAsia"/>
          <w:sz w:val="32"/>
          <w:szCs w:val="48"/>
        </w:rPr>
        <w:fldChar w:fldCharType="begin"/>
      </w:r>
      <w:r>
        <w:rPr>
          <w:rFonts w:hint="default" w:ascii="Times New Roman" w:hAnsi="Times New Roman" w:cs="Times New Roman" w:eastAsiaTheme="minorEastAsia"/>
          <w:sz w:val="32"/>
          <w:szCs w:val="48"/>
        </w:rPr>
        <w:instrText xml:space="preserve"> HYPERLINK \l _Toc24247 </w:instrText>
      </w:r>
      <w:r>
        <w:rPr>
          <w:rFonts w:hint="default" w:ascii="Times New Roman" w:hAnsi="Times New Roman" w:cs="Times New Roman" w:eastAsiaTheme="minorEastAsia"/>
          <w:sz w:val="32"/>
          <w:szCs w:val="48"/>
        </w:rPr>
        <w:fldChar w:fldCharType="separate"/>
      </w:r>
      <w:r>
        <w:rPr>
          <w:rFonts w:hint="default" w:ascii="Times New Roman" w:hAnsi="Times New Roman" w:cs="Times New Roman" w:eastAsiaTheme="minorEastAsia"/>
          <w:sz w:val="32"/>
          <w:szCs w:val="40"/>
        </w:rPr>
        <w:t>第二章  比选须知</w:t>
      </w:r>
      <w:r>
        <w:rPr>
          <w:rFonts w:hint="default" w:ascii="Times New Roman" w:hAnsi="Times New Roman" w:cs="Times New Roman"/>
          <w:sz w:val="32"/>
          <w:szCs w:val="40"/>
        </w:rPr>
        <w:tab/>
      </w: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PAGEREF _Toc24247 \h </w:instrText>
      </w:r>
      <w:r>
        <w:rPr>
          <w:rFonts w:hint="default" w:ascii="Times New Roman" w:hAnsi="Times New Roman" w:cs="Times New Roman"/>
          <w:sz w:val="32"/>
          <w:szCs w:val="40"/>
        </w:rPr>
        <w:fldChar w:fldCharType="separate"/>
      </w:r>
      <w:r>
        <w:rPr>
          <w:rFonts w:hint="default" w:ascii="Times New Roman" w:hAnsi="Times New Roman" w:cs="Times New Roman"/>
          <w:sz w:val="32"/>
          <w:szCs w:val="40"/>
        </w:rPr>
        <w:t>- 5 -</w:t>
      </w:r>
      <w:r>
        <w:rPr>
          <w:rFonts w:hint="default" w:ascii="Times New Roman" w:hAnsi="Times New Roman" w:cs="Times New Roman"/>
          <w:sz w:val="32"/>
          <w:szCs w:val="40"/>
        </w:rPr>
        <w:fldChar w:fldCharType="end"/>
      </w:r>
      <w:r>
        <w:rPr>
          <w:rFonts w:hint="default" w:ascii="Times New Roman" w:hAnsi="Times New Roman" w:cs="Times New Roman" w:eastAsiaTheme="minorEastAsia"/>
          <w:sz w:val="32"/>
          <w:szCs w:val="48"/>
        </w:rPr>
        <w:fldChar w:fldCharType="end"/>
      </w:r>
    </w:p>
    <w:p w14:paraId="148F50FC">
      <w:pPr>
        <w:pStyle w:val="14"/>
        <w:tabs>
          <w:tab w:val="right" w:leader="dot" w:pos="8306"/>
        </w:tabs>
        <w:rPr>
          <w:rFonts w:hint="default" w:ascii="Times New Roman" w:hAnsi="Times New Roman" w:cs="Times New Roman"/>
          <w:sz w:val="32"/>
          <w:szCs w:val="40"/>
        </w:rPr>
      </w:pPr>
      <w:r>
        <w:rPr>
          <w:rFonts w:hint="default" w:ascii="Times New Roman" w:hAnsi="Times New Roman" w:cs="Times New Roman" w:eastAsiaTheme="minorEastAsia"/>
          <w:sz w:val="32"/>
          <w:szCs w:val="48"/>
        </w:rPr>
        <w:fldChar w:fldCharType="begin"/>
      </w:r>
      <w:r>
        <w:rPr>
          <w:rFonts w:hint="default" w:ascii="Times New Roman" w:hAnsi="Times New Roman" w:cs="Times New Roman" w:eastAsiaTheme="minorEastAsia"/>
          <w:sz w:val="32"/>
          <w:szCs w:val="48"/>
        </w:rPr>
        <w:instrText xml:space="preserve"> HYPERLINK \l _Toc7003 </w:instrText>
      </w:r>
      <w:r>
        <w:rPr>
          <w:rFonts w:hint="default" w:ascii="Times New Roman" w:hAnsi="Times New Roman" w:cs="Times New Roman" w:eastAsiaTheme="minorEastAsia"/>
          <w:sz w:val="32"/>
          <w:szCs w:val="48"/>
        </w:rPr>
        <w:fldChar w:fldCharType="separate"/>
      </w:r>
      <w:r>
        <w:rPr>
          <w:rFonts w:hint="default" w:ascii="Times New Roman" w:hAnsi="Times New Roman" w:cs="Times New Roman" w:eastAsiaTheme="minorEastAsia"/>
          <w:sz w:val="32"/>
          <w:szCs w:val="40"/>
        </w:rPr>
        <w:t>第三章  服务内容及技术要求</w:t>
      </w:r>
      <w:r>
        <w:rPr>
          <w:rFonts w:hint="default" w:ascii="Times New Roman" w:hAnsi="Times New Roman" w:cs="Times New Roman"/>
          <w:sz w:val="32"/>
          <w:szCs w:val="40"/>
        </w:rPr>
        <w:tab/>
      </w: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PAGEREF _Toc7003 \h </w:instrText>
      </w:r>
      <w:r>
        <w:rPr>
          <w:rFonts w:hint="default" w:ascii="Times New Roman" w:hAnsi="Times New Roman" w:cs="Times New Roman"/>
          <w:sz w:val="32"/>
          <w:szCs w:val="40"/>
        </w:rPr>
        <w:fldChar w:fldCharType="separate"/>
      </w:r>
      <w:r>
        <w:rPr>
          <w:rFonts w:hint="default" w:ascii="Times New Roman" w:hAnsi="Times New Roman" w:cs="Times New Roman"/>
          <w:sz w:val="32"/>
          <w:szCs w:val="40"/>
        </w:rPr>
        <w:t>- 11 -</w:t>
      </w:r>
      <w:r>
        <w:rPr>
          <w:rFonts w:hint="default" w:ascii="Times New Roman" w:hAnsi="Times New Roman" w:cs="Times New Roman"/>
          <w:sz w:val="32"/>
          <w:szCs w:val="40"/>
        </w:rPr>
        <w:fldChar w:fldCharType="end"/>
      </w:r>
      <w:r>
        <w:rPr>
          <w:rFonts w:hint="default" w:ascii="Times New Roman" w:hAnsi="Times New Roman" w:cs="Times New Roman" w:eastAsiaTheme="minorEastAsia"/>
          <w:sz w:val="32"/>
          <w:szCs w:val="48"/>
        </w:rPr>
        <w:fldChar w:fldCharType="end"/>
      </w:r>
    </w:p>
    <w:p w14:paraId="3342AFF4">
      <w:pPr>
        <w:pStyle w:val="14"/>
        <w:tabs>
          <w:tab w:val="right" w:leader="dot" w:pos="8306"/>
        </w:tabs>
        <w:rPr>
          <w:rFonts w:hint="default" w:ascii="Times New Roman" w:hAnsi="Times New Roman" w:cs="Times New Roman"/>
          <w:sz w:val="32"/>
          <w:szCs w:val="40"/>
        </w:rPr>
      </w:pPr>
      <w:r>
        <w:rPr>
          <w:rFonts w:hint="default" w:ascii="Times New Roman" w:hAnsi="Times New Roman" w:cs="Times New Roman" w:eastAsiaTheme="minorEastAsia"/>
          <w:sz w:val="32"/>
          <w:szCs w:val="48"/>
        </w:rPr>
        <w:fldChar w:fldCharType="begin"/>
      </w:r>
      <w:r>
        <w:rPr>
          <w:rFonts w:hint="default" w:ascii="Times New Roman" w:hAnsi="Times New Roman" w:cs="Times New Roman" w:eastAsiaTheme="minorEastAsia"/>
          <w:sz w:val="32"/>
          <w:szCs w:val="48"/>
        </w:rPr>
        <w:instrText xml:space="preserve"> HYPERLINK \l _Toc27773 </w:instrText>
      </w:r>
      <w:r>
        <w:rPr>
          <w:rFonts w:hint="default" w:ascii="Times New Roman" w:hAnsi="Times New Roman" w:cs="Times New Roman" w:eastAsiaTheme="minorEastAsia"/>
          <w:sz w:val="32"/>
          <w:szCs w:val="48"/>
        </w:rPr>
        <w:fldChar w:fldCharType="separate"/>
      </w:r>
      <w:r>
        <w:rPr>
          <w:rFonts w:hint="default" w:ascii="Times New Roman" w:hAnsi="Times New Roman" w:cs="Times New Roman" w:eastAsiaTheme="minorEastAsia"/>
          <w:sz w:val="32"/>
          <w:szCs w:val="40"/>
        </w:rPr>
        <w:t>第四章  评选办法</w:t>
      </w:r>
      <w:r>
        <w:rPr>
          <w:rFonts w:hint="default" w:ascii="Times New Roman" w:hAnsi="Times New Roman" w:cs="Times New Roman"/>
          <w:sz w:val="32"/>
          <w:szCs w:val="40"/>
        </w:rPr>
        <w:tab/>
      </w: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PAGEREF _Toc27773 \h </w:instrText>
      </w:r>
      <w:r>
        <w:rPr>
          <w:rFonts w:hint="default" w:ascii="Times New Roman" w:hAnsi="Times New Roman" w:cs="Times New Roman"/>
          <w:sz w:val="32"/>
          <w:szCs w:val="40"/>
        </w:rPr>
        <w:fldChar w:fldCharType="separate"/>
      </w:r>
      <w:r>
        <w:rPr>
          <w:rFonts w:hint="default" w:ascii="Times New Roman" w:hAnsi="Times New Roman" w:cs="Times New Roman"/>
          <w:sz w:val="32"/>
          <w:szCs w:val="40"/>
        </w:rPr>
        <w:t>- 13 -</w:t>
      </w:r>
      <w:r>
        <w:rPr>
          <w:rFonts w:hint="default" w:ascii="Times New Roman" w:hAnsi="Times New Roman" w:cs="Times New Roman"/>
          <w:sz w:val="32"/>
          <w:szCs w:val="40"/>
        </w:rPr>
        <w:fldChar w:fldCharType="end"/>
      </w:r>
      <w:r>
        <w:rPr>
          <w:rFonts w:hint="default" w:ascii="Times New Roman" w:hAnsi="Times New Roman" w:cs="Times New Roman" w:eastAsiaTheme="minorEastAsia"/>
          <w:sz w:val="32"/>
          <w:szCs w:val="48"/>
        </w:rPr>
        <w:fldChar w:fldCharType="end"/>
      </w:r>
    </w:p>
    <w:p w14:paraId="2F1E32CA">
      <w:pPr>
        <w:pStyle w:val="14"/>
        <w:tabs>
          <w:tab w:val="right" w:leader="dot" w:pos="8306"/>
        </w:tabs>
        <w:rPr>
          <w:rFonts w:hint="default" w:ascii="Times New Roman" w:hAnsi="Times New Roman" w:cs="Times New Roman"/>
          <w:sz w:val="32"/>
          <w:szCs w:val="40"/>
        </w:rPr>
      </w:pPr>
      <w:r>
        <w:rPr>
          <w:rFonts w:hint="default" w:ascii="Times New Roman" w:hAnsi="Times New Roman" w:cs="Times New Roman" w:eastAsiaTheme="minorEastAsia"/>
          <w:sz w:val="32"/>
          <w:szCs w:val="48"/>
        </w:rPr>
        <w:fldChar w:fldCharType="begin"/>
      </w:r>
      <w:r>
        <w:rPr>
          <w:rFonts w:hint="default" w:ascii="Times New Roman" w:hAnsi="Times New Roman" w:cs="Times New Roman" w:eastAsiaTheme="minorEastAsia"/>
          <w:sz w:val="32"/>
          <w:szCs w:val="48"/>
        </w:rPr>
        <w:instrText xml:space="preserve"> HYPERLINK \l _Toc13848 </w:instrText>
      </w:r>
      <w:r>
        <w:rPr>
          <w:rFonts w:hint="default" w:ascii="Times New Roman" w:hAnsi="Times New Roman" w:cs="Times New Roman" w:eastAsiaTheme="minorEastAsia"/>
          <w:sz w:val="32"/>
          <w:szCs w:val="48"/>
        </w:rPr>
        <w:fldChar w:fldCharType="separate"/>
      </w:r>
      <w:r>
        <w:rPr>
          <w:rFonts w:hint="default" w:ascii="Times New Roman" w:hAnsi="Times New Roman" w:cs="Times New Roman" w:eastAsiaTheme="minorEastAsia"/>
          <w:sz w:val="32"/>
          <w:szCs w:val="40"/>
        </w:rPr>
        <w:t>第五章  合同条款及格式</w:t>
      </w:r>
      <w:r>
        <w:rPr>
          <w:rFonts w:hint="default" w:ascii="Times New Roman" w:hAnsi="Times New Roman" w:cs="Times New Roman"/>
          <w:sz w:val="32"/>
          <w:szCs w:val="40"/>
        </w:rPr>
        <w:tab/>
      </w: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PAGEREF _Toc13848 \h </w:instrText>
      </w:r>
      <w:r>
        <w:rPr>
          <w:rFonts w:hint="default" w:ascii="Times New Roman" w:hAnsi="Times New Roman" w:cs="Times New Roman"/>
          <w:sz w:val="32"/>
          <w:szCs w:val="40"/>
        </w:rPr>
        <w:fldChar w:fldCharType="separate"/>
      </w:r>
      <w:r>
        <w:rPr>
          <w:rFonts w:hint="default" w:ascii="Times New Roman" w:hAnsi="Times New Roman" w:cs="Times New Roman"/>
          <w:sz w:val="32"/>
          <w:szCs w:val="40"/>
        </w:rPr>
        <w:t>- 16 -</w:t>
      </w:r>
      <w:r>
        <w:rPr>
          <w:rFonts w:hint="default" w:ascii="Times New Roman" w:hAnsi="Times New Roman" w:cs="Times New Roman"/>
          <w:sz w:val="32"/>
          <w:szCs w:val="40"/>
        </w:rPr>
        <w:fldChar w:fldCharType="end"/>
      </w:r>
      <w:r>
        <w:rPr>
          <w:rFonts w:hint="default" w:ascii="Times New Roman" w:hAnsi="Times New Roman" w:cs="Times New Roman" w:eastAsiaTheme="minorEastAsia"/>
          <w:sz w:val="32"/>
          <w:szCs w:val="48"/>
        </w:rPr>
        <w:fldChar w:fldCharType="end"/>
      </w:r>
    </w:p>
    <w:p w14:paraId="383EDC5F">
      <w:pPr>
        <w:pStyle w:val="14"/>
        <w:tabs>
          <w:tab w:val="right" w:leader="dot" w:pos="8306"/>
        </w:tabs>
        <w:rPr>
          <w:rFonts w:hint="default" w:ascii="Times New Roman" w:hAnsi="Times New Roman" w:cs="Times New Roman"/>
          <w:sz w:val="32"/>
          <w:szCs w:val="40"/>
        </w:rPr>
      </w:pPr>
      <w:r>
        <w:rPr>
          <w:rFonts w:hint="default" w:ascii="Times New Roman" w:hAnsi="Times New Roman" w:cs="Times New Roman" w:eastAsiaTheme="minorEastAsia"/>
          <w:sz w:val="32"/>
          <w:szCs w:val="48"/>
        </w:rPr>
        <w:fldChar w:fldCharType="begin"/>
      </w:r>
      <w:r>
        <w:rPr>
          <w:rFonts w:hint="default" w:ascii="Times New Roman" w:hAnsi="Times New Roman" w:cs="Times New Roman" w:eastAsiaTheme="minorEastAsia"/>
          <w:sz w:val="32"/>
          <w:szCs w:val="48"/>
        </w:rPr>
        <w:instrText xml:space="preserve"> HYPERLINK \l _Toc27564 </w:instrText>
      </w:r>
      <w:r>
        <w:rPr>
          <w:rFonts w:hint="default" w:ascii="Times New Roman" w:hAnsi="Times New Roman" w:cs="Times New Roman" w:eastAsiaTheme="minorEastAsia"/>
          <w:sz w:val="32"/>
          <w:szCs w:val="48"/>
        </w:rPr>
        <w:fldChar w:fldCharType="separate"/>
      </w:r>
      <w:r>
        <w:rPr>
          <w:rFonts w:hint="default" w:ascii="Times New Roman" w:hAnsi="Times New Roman" w:cs="Times New Roman" w:eastAsiaTheme="minorEastAsia"/>
          <w:sz w:val="32"/>
          <w:szCs w:val="40"/>
        </w:rPr>
        <w:t>第六章  比选申请文件格式</w:t>
      </w:r>
      <w:r>
        <w:rPr>
          <w:rFonts w:hint="default" w:ascii="Times New Roman" w:hAnsi="Times New Roman" w:cs="Times New Roman"/>
          <w:sz w:val="32"/>
          <w:szCs w:val="40"/>
        </w:rPr>
        <w:tab/>
      </w:r>
      <w:r>
        <w:rPr>
          <w:rFonts w:hint="default" w:ascii="Times New Roman" w:hAnsi="Times New Roman" w:cs="Times New Roman"/>
          <w:sz w:val="32"/>
          <w:szCs w:val="40"/>
        </w:rPr>
        <w:fldChar w:fldCharType="begin"/>
      </w:r>
      <w:r>
        <w:rPr>
          <w:rFonts w:hint="default" w:ascii="Times New Roman" w:hAnsi="Times New Roman" w:cs="Times New Roman"/>
          <w:sz w:val="32"/>
          <w:szCs w:val="40"/>
        </w:rPr>
        <w:instrText xml:space="preserve"> PAGEREF _Toc27564 \h </w:instrText>
      </w:r>
      <w:r>
        <w:rPr>
          <w:rFonts w:hint="default" w:ascii="Times New Roman" w:hAnsi="Times New Roman" w:cs="Times New Roman"/>
          <w:sz w:val="32"/>
          <w:szCs w:val="40"/>
        </w:rPr>
        <w:fldChar w:fldCharType="separate"/>
      </w:r>
      <w:r>
        <w:rPr>
          <w:rFonts w:hint="default" w:ascii="Times New Roman" w:hAnsi="Times New Roman" w:cs="Times New Roman"/>
          <w:sz w:val="32"/>
          <w:szCs w:val="40"/>
        </w:rPr>
        <w:t>- 17 -</w:t>
      </w:r>
      <w:r>
        <w:rPr>
          <w:rFonts w:hint="default" w:ascii="Times New Roman" w:hAnsi="Times New Roman" w:cs="Times New Roman"/>
          <w:sz w:val="32"/>
          <w:szCs w:val="40"/>
        </w:rPr>
        <w:fldChar w:fldCharType="end"/>
      </w:r>
      <w:r>
        <w:rPr>
          <w:rFonts w:hint="default" w:ascii="Times New Roman" w:hAnsi="Times New Roman" w:cs="Times New Roman" w:eastAsiaTheme="minorEastAsia"/>
          <w:sz w:val="32"/>
          <w:szCs w:val="48"/>
        </w:rPr>
        <w:fldChar w:fldCharType="end"/>
      </w:r>
    </w:p>
    <w:p w14:paraId="655D21ED">
      <w:pPr>
        <w:topLinePunct/>
        <w:spacing w:line="560" w:lineRule="exact"/>
        <w:rPr>
          <w:rFonts w:eastAsiaTheme="minorEastAsia"/>
          <w:sz w:val="30"/>
          <w:szCs w:val="30"/>
        </w:rPr>
      </w:pPr>
      <w:r>
        <w:rPr>
          <w:rFonts w:hint="default" w:ascii="Times New Roman" w:hAnsi="Times New Roman" w:cs="Times New Roman" w:eastAsiaTheme="minorEastAsia"/>
          <w:sz w:val="32"/>
          <w:szCs w:val="48"/>
        </w:rPr>
        <w:fldChar w:fldCharType="end"/>
      </w:r>
    </w:p>
    <w:p w14:paraId="63471E0B">
      <w:pPr>
        <w:topLinePunct/>
        <w:spacing w:line="360" w:lineRule="auto"/>
        <w:jc w:val="left"/>
        <w:rPr>
          <w:rFonts w:eastAsiaTheme="minorEastAsia"/>
          <w:b/>
          <w:sz w:val="28"/>
          <w:szCs w:val="28"/>
        </w:rPr>
      </w:pPr>
    </w:p>
    <w:p w14:paraId="7BD5C1AE">
      <w:pPr>
        <w:topLinePunct/>
        <w:spacing w:line="360" w:lineRule="auto"/>
        <w:rPr>
          <w:rFonts w:eastAsiaTheme="minorEastAsia"/>
          <w:sz w:val="32"/>
          <w:szCs w:val="32"/>
        </w:rPr>
      </w:pPr>
    </w:p>
    <w:p w14:paraId="3E4070BB">
      <w:pPr>
        <w:topLinePunct/>
        <w:spacing w:line="360" w:lineRule="auto"/>
        <w:rPr>
          <w:rFonts w:eastAsiaTheme="minorEastAsia"/>
          <w:sz w:val="32"/>
          <w:szCs w:val="32"/>
        </w:rPr>
      </w:pPr>
    </w:p>
    <w:p w14:paraId="1A01D39D">
      <w:pPr>
        <w:topLinePunct/>
        <w:spacing w:line="360" w:lineRule="auto"/>
        <w:jc w:val="center"/>
        <w:rPr>
          <w:rFonts w:eastAsiaTheme="minorEastAsia"/>
          <w:sz w:val="28"/>
          <w:szCs w:val="28"/>
        </w:rPr>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pPr>
    </w:p>
    <w:p w14:paraId="2B10BFB3">
      <w:pPr>
        <w:pStyle w:val="2"/>
        <w:rPr>
          <w:rFonts w:eastAsiaTheme="minorEastAsia"/>
        </w:rPr>
      </w:pPr>
      <w:bookmarkStart w:id="3" w:name="_Toc3876"/>
      <w:bookmarkStart w:id="4" w:name="_Toc24606"/>
      <w:bookmarkStart w:id="5" w:name="_Toc19843"/>
      <w:bookmarkStart w:id="6" w:name="_Toc22513"/>
      <w:r>
        <w:rPr>
          <w:rFonts w:eastAsiaTheme="minorEastAsia"/>
        </w:rPr>
        <w:t>第一章  比选公告</w:t>
      </w:r>
      <w:bookmarkEnd w:id="3"/>
      <w:bookmarkEnd w:id="4"/>
      <w:bookmarkEnd w:id="5"/>
      <w:bookmarkEnd w:id="6"/>
    </w:p>
    <w:p w14:paraId="3DB68CAD">
      <w:pPr>
        <w:topLinePunct/>
        <w:spacing w:line="360" w:lineRule="auto"/>
        <w:jc w:val="left"/>
        <w:rPr>
          <w:rFonts w:eastAsiaTheme="minorEastAsia"/>
          <w:kern w:val="0"/>
          <w:sz w:val="24"/>
        </w:rPr>
      </w:pPr>
      <w:r>
        <w:rPr>
          <w:rFonts w:eastAsiaTheme="minorEastAsia"/>
          <w:kern w:val="0"/>
          <w:sz w:val="24"/>
        </w:rPr>
        <w:t xml:space="preserve">   成都市温江区规划和自然资源局拟对温江区2026年农村宅基地和住房定位验线服务项目进行公开比选，诚邀符合条件的、有履约能力的企业/单位按照本公告的相关要求前来参加比选。</w:t>
      </w:r>
    </w:p>
    <w:p w14:paraId="06F17903">
      <w:pPr>
        <w:pStyle w:val="43"/>
        <w:numPr>
          <w:ilvl w:val="0"/>
          <w:numId w:val="1"/>
        </w:numPr>
        <w:topLinePunct/>
        <w:spacing w:line="360" w:lineRule="auto"/>
        <w:ind w:firstLineChars="0"/>
        <w:jc w:val="left"/>
        <w:rPr>
          <w:rFonts w:eastAsiaTheme="minorEastAsia"/>
          <w:b/>
          <w:bCs/>
          <w:kern w:val="0"/>
          <w:sz w:val="24"/>
        </w:rPr>
      </w:pPr>
      <w:r>
        <w:rPr>
          <w:rFonts w:eastAsiaTheme="minorEastAsia"/>
          <w:b/>
          <w:bCs/>
          <w:kern w:val="0"/>
          <w:sz w:val="24"/>
        </w:rPr>
        <w:t>项目概况</w:t>
      </w:r>
    </w:p>
    <w:p w14:paraId="2DF557A0">
      <w:pPr>
        <w:topLinePunct/>
        <w:spacing w:line="360" w:lineRule="auto"/>
        <w:ind w:firstLine="482" w:firstLineChars="200"/>
        <w:jc w:val="left"/>
        <w:rPr>
          <w:rFonts w:eastAsiaTheme="minorEastAsia"/>
          <w:b/>
          <w:bCs/>
          <w:kern w:val="0"/>
          <w:sz w:val="24"/>
        </w:rPr>
      </w:pPr>
      <w:r>
        <w:rPr>
          <w:rFonts w:eastAsiaTheme="minorEastAsia"/>
          <w:b/>
          <w:bCs/>
          <w:kern w:val="0"/>
          <w:sz w:val="24"/>
        </w:rPr>
        <w:t>（一）项目名称</w:t>
      </w:r>
    </w:p>
    <w:p w14:paraId="7DDEFB92">
      <w:pPr>
        <w:topLinePunct/>
        <w:spacing w:line="360" w:lineRule="auto"/>
        <w:ind w:firstLine="480" w:firstLineChars="200"/>
        <w:jc w:val="left"/>
        <w:rPr>
          <w:rFonts w:eastAsiaTheme="minorEastAsia"/>
          <w:kern w:val="0"/>
          <w:sz w:val="24"/>
        </w:rPr>
      </w:pPr>
      <w:r>
        <w:rPr>
          <w:rFonts w:eastAsiaTheme="minorEastAsia"/>
          <w:kern w:val="0"/>
          <w:sz w:val="24"/>
        </w:rPr>
        <w:t>温江区2026年农村宅基地和住房定位验线服务项目</w:t>
      </w:r>
    </w:p>
    <w:p w14:paraId="3C875A4B">
      <w:pPr>
        <w:topLinePunct/>
        <w:spacing w:line="360" w:lineRule="auto"/>
        <w:ind w:firstLine="482" w:firstLineChars="200"/>
        <w:jc w:val="left"/>
        <w:rPr>
          <w:rFonts w:eastAsiaTheme="minorEastAsia"/>
          <w:b/>
          <w:bCs/>
          <w:kern w:val="0"/>
          <w:sz w:val="24"/>
        </w:rPr>
      </w:pPr>
      <w:r>
        <w:rPr>
          <w:rFonts w:eastAsiaTheme="minorEastAsia"/>
          <w:b/>
          <w:bCs/>
          <w:kern w:val="0"/>
          <w:sz w:val="24"/>
        </w:rPr>
        <w:t>（二）项目地点</w:t>
      </w:r>
    </w:p>
    <w:p w14:paraId="3607B796">
      <w:pPr>
        <w:topLinePunct/>
        <w:spacing w:line="360" w:lineRule="auto"/>
        <w:ind w:firstLine="480" w:firstLineChars="200"/>
        <w:rPr>
          <w:rFonts w:eastAsiaTheme="minorEastAsia"/>
          <w:kern w:val="0"/>
          <w:sz w:val="24"/>
        </w:rPr>
      </w:pPr>
      <w:r>
        <w:rPr>
          <w:rFonts w:eastAsiaTheme="minorEastAsia"/>
          <w:kern w:val="0"/>
          <w:sz w:val="24"/>
        </w:rPr>
        <w:t>成都市温江区</w:t>
      </w:r>
    </w:p>
    <w:p w14:paraId="55B938DA">
      <w:pPr>
        <w:topLinePunct/>
        <w:spacing w:line="360" w:lineRule="auto"/>
        <w:ind w:firstLine="482" w:firstLineChars="200"/>
        <w:jc w:val="left"/>
        <w:rPr>
          <w:rFonts w:eastAsiaTheme="minorEastAsia"/>
          <w:b/>
          <w:bCs/>
          <w:kern w:val="0"/>
          <w:sz w:val="24"/>
        </w:rPr>
      </w:pPr>
      <w:r>
        <w:rPr>
          <w:rFonts w:eastAsiaTheme="minorEastAsia"/>
          <w:b/>
          <w:bCs/>
          <w:kern w:val="0"/>
          <w:sz w:val="24"/>
        </w:rPr>
        <w:t>（三）项目预算</w:t>
      </w:r>
    </w:p>
    <w:p w14:paraId="1494C089">
      <w:pPr>
        <w:topLinePunct/>
        <w:spacing w:line="360" w:lineRule="auto"/>
        <w:ind w:firstLine="480" w:firstLineChars="200"/>
        <w:rPr>
          <w:rFonts w:eastAsiaTheme="minorEastAsia"/>
          <w:kern w:val="0"/>
          <w:sz w:val="24"/>
        </w:rPr>
      </w:pPr>
      <w:r>
        <w:rPr>
          <w:rFonts w:eastAsiaTheme="minorEastAsia"/>
          <w:kern w:val="0"/>
          <w:sz w:val="24"/>
        </w:rPr>
        <w:t>单价1200.00元/户（合同总预算不超过30.00万元人民币)。</w:t>
      </w:r>
    </w:p>
    <w:p w14:paraId="1C06E424">
      <w:pPr>
        <w:topLinePunct/>
        <w:spacing w:line="360" w:lineRule="auto"/>
        <w:ind w:firstLine="482" w:firstLineChars="200"/>
        <w:jc w:val="left"/>
        <w:rPr>
          <w:rFonts w:eastAsiaTheme="minorEastAsia"/>
          <w:b/>
          <w:bCs/>
          <w:kern w:val="0"/>
          <w:sz w:val="24"/>
        </w:rPr>
      </w:pPr>
      <w:r>
        <w:rPr>
          <w:rFonts w:eastAsiaTheme="minorEastAsia"/>
          <w:b/>
          <w:bCs/>
          <w:kern w:val="0"/>
          <w:sz w:val="24"/>
        </w:rPr>
        <w:t>二、比选申请人资格要求</w:t>
      </w:r>
    </w:p>
    <w:p w14:paraId="0AD49FF5">
      <w:pPr>
        <w:topLinePunct/>
        <w:spacing w:line="360" w:lineRule="auto"/>
        <w:ind w:firstLine="480" w:firstLineChars="200"/>
        <w:rPr>
          <w:rFonts w:eastAsiaTheme="minorEastAsia"/>
          <w:kern w:val="0"/>
          <w:sz w:val="24"/>
        </w:rPr>
      </w:pPr>
      <w:r>
        <w:rPr>
          <w:rFonts w:eastAsiaTheme="minorEastAsia"/>
          <w:kern w:val="0"/>
          <w:sz w:val="24"/>
        </w:rPr>
        <w:t>比选申请人应遵守有关的国家法律、法规和条例，具备本文件中规定的条件：</w:t>
      </w:r>
    </w:p>
    <w:p w14:paraId="72B6BA25">
      <w:pPr>
        <w:topLinePunct/>
        <w:spacing w:line="360" w:lineRule="auto"/>
        <w:ind w:left="660" w:leftChars="200" w:hanging="240" w:hangingChars="100"/>
        <w:jc w:val="left"/>
        <w:rPr>
          <w:sz w:val="24"/>
        </w:rPr>
      </w:pPr>
      <w:r>
        <w:rPr>
          <w:sz w:val="24"/>
        </w:rPr>
        <w:t>（1）必须是已在中国境内依法登记注册的独立法人；</w:t>
      </w:r>
    </w:p>
    <w:p w14:paraId="7AEB47B4">
      <w:pPr>
        <w:topLinePunct/>
        <w:spacing w:line="360" w:lineRule="auto"/>
        <w:ind w:left="660" w:leftChars="200" w:hanging="240" w:hangingChars="100"/>
        <w:jc w:val="left"/>
        <w:rPr>
          <w:sz w:val="24"/>
        </w:rPr>
      </w:pPr>
      <w:r>
        <w:rPr>
          <w:sz w:val="24"/>
        </w:rPr>
        <w:t>（2）具有行政主管部门颁发的测绘乙级或以上资质（专业范围：工程测量）；</w:t>
      </w:r>
    </w:p>
    <w:p w14:paraId="250AE554">
      <w:pPr>
        <w:topLinePunct/>
        <w:spacing w:line="360" w:lineRule="auto"/>
        <w:ind w:left="660" w:leftChars="200" w:hanging="240" w:hangingChars="100"/>
        <w:jc w:val="left"/>
        <w:rPr>
          <w:sz w:val="24"/>
        </w:rPr>
      </w:pPr>
      <w:r>
        <w:rPr>
          <w:sz w:val="24"/>
        </w:rPr>
        <w:t>（3）具有良好的商业信誉和健全的财务会计制度；</w:t>
      </w:r>
    </w:p>
    <w:p w14:paraId="5584510A">
      <w:pPr>
        <w:topLinePunct/>
        <w:spacing w:line="360" w:lineRule="auto"/>
        <w:ind w:left="660" w:leftChars="200" w:hanging="240" w:hangingChars="100"/>
        <w:jc w:val="left"/>
        <w:rPr>
          <w:sz w:val="24"/>
        </w:rPr>
      </w:pPr>
      <w:r>
        <w:rPr>
          <w:sz w:val="24"/>
        </w:rPr>
        <w:t>（4）参加项目比选的企业近三年内，在经营活动中无不良信用记录和重大违法记录；</w:t>
      </w:r>
    </w:p>
    <w:p w14:paraId="600A7D6C">
      <w:pPr>
        <w:topLinePunct/>
        <w:spacing w:line="360" w:lineRule="auto"/>
        <w:ind w:left="660" w:leftChars="200" w:hanging="240" w:hangingChars="100"/>
        <w:jc w:val="left"/>
        <w:rPr>
          <w:sz w:val="24"/>
        </w:rPr>
      </w:pPr>
      <w:r>
        <w:rPr>
          <w:sz w:val="24"/>
        </w:rPr>
        <w:t>（5）参选单位及其现任法定代表人、主要负责人前3年内不得具有行贿犯罪记录；</w:t>
      </w:r>
    </w:p>
    <w:p w14:paraId="39057F73">
      <w:pPr>
        <w:topLinePunct/>
        <w:spacing w:line="360" w:lineRule="auto"/>
        <w:ind w:left="660" w:leftChars="200" w:hanging="240" w:hangingChars="100"/>
        <w:jc w:val="left"/>
        <w:rPr>
          <w:sz w:val="24"/>
        </w:rPr>
      </w:pPr>
      <w:r>
        <w:rPr>
          <w:sz w:val="24"/>
        </w:rPr>
        <w:t>（6）法律、行政法规规定的其他条件；</w:t>
      </w:r>
    </w:p>
    <w:p w14:paraId="56E782D7">
      <w:pPr>
        <w:topLinePunct/>
        <w:spacing w:line="360" w:lineRule="auto"/>
        <w:ind w:left="660" w:leftChars="200" w:hanging="240" w:hangingChars="100"/>
        <w:jc w:val="left"/>
        <w:rPr>
          <w:rFonts w:eastAsiaTheme="minorEastAsia"/>
          <w:kern w:val="0"/>
          <w:sz w:val="24"/>
        </w:rPr>
      </w:pPr>
      <w:r>
        <w:rPr>
          <w:sz w:val="24"/>
        </w:rPr>
        <w:t>（7）本次比选不接受联合体参加；</w:t>
      </w:r>
    </w:p>
    <w:p w14:paraId="74AAC6C1">
      <w:pPr>
        <w:topLinePunct/>
        <w:spacing w:line="360" w:lineRule="auto"/>
        <w:ind w:firstLine="482" w:firstLineChars="200"/>
        <w:jc w:val="left"/>
        <w:rPr>
          <w:rFonts w:eastAsiaTheme="minorEastAsia"/>
          <w:b/>
          <w:bCs/>
          <w:kern w:val="0"/>
          <w:sz w:val="24"/>
        </w:rPr>
      </w:pPr>
      <w:r>
        <w:rPr>
          <w:rFonts w:eastAsiaTheme="minorEastAsia"/>
          <w:b/>
          <w:bCs/>
          <w:kern w:val="0"/>
          <w:sz w:val="24"/>
        </w:rPr>
        <w:t>三、</w:t>
      </w:r>
      <w:r>
        <w:rPr>
          <w:b/>
          <w:bCs/>
          <w:kern w:val="0"/>
          <w:sz w:val="24"/>
        </w:rPr>
        <w:t>服务内容</w:t>
      </w:r>
    </w:p>
    <w:p w14:paraId="74B538DA">
      <w:pPr>
        <w:topLinePunct/>
        <w:spacing w:line="360" w:lineRule="auto"/>
        <w:ind w:left="424" w:leftChars="202" w:firstLine="556" w:firstLineChars="232"/>
        <w:jc w:val="left"/>
        <w:rPr>
          <w:sz w:val="24"/>
        </w:rPr>
      </w:pPr>
      <w:r>
        <w:rPr>
          <w:sz w:val="24"/>
        </w:rPr>
        <w:t>依据《成都市温江区规范农村宅基地审批和住房建设管理实施细则》工作内容，农村宅基地和住房定位验线测绘工作为：</w:t>
      </w:r>
    </w:p>
    <w:p w14:paraId="738F9DD4">
      <w:pPr>
        <w:topLinePunct/>
        <w:spacing w:line="360" w:lineRule="auto"/>
        <w:ind w:left="424" w:leftChars="202" w:firstLine="480" w:firstLineChars="200"/>
        <w:jc w:val="left"/>
        <w:rPr>
          <w:sz w:val="24"/>
        </w:rPr>
      </w:pPr>
      <w:r>
        <w:rPr>
          <w:sz w:val="24"/>
        </w:rPr>
        <w:t>实测宅基地用地范围及建筑角点平面坐标，核验宅基地用地范围、建筑平面位置及占地范围。</w:t>
      </w:r>
    </w:p>
    <w:p w14:paraId="13FB09E1">
      <w:pPr>
        <w:topLinePunct/>
        <w:spacing w:line="360" w:lineRule="auto"/>
        <w:ind w:left="661" w:leftChars="200" w:hanging="241" w:hangingChars="100"/>
        <w:jc w:val="left"/>
        <w:rPr>
          <w:rFonts w:eastAsiaTheme="minorEastAsia"/>
          <w:b/>
          <w:bCs/>
          <w:kern w:val="0"/>
          <w:sz w:val="24"/>
        </w:rPr>
      </w:pPr>
      <w:r>
        <w:rPr>
          <w:rFonts w:eastAsiaTheme="minorEastAsia"/>
          <w:b/>
          <w:bCs/>
          <w:kern w:val="0"/>
          <w:sz w:val="24"/>
        </w:rPr>
        <w:t>四、比选文件领发</w:t>
      </w:r>
    </w:p>
    <w:p w14:paraId="124E3343">
      <w:pPr>
        <w:topLinePunct/>
        <w:spacing w:line="360" w:lineRule="auto"/>
        <w:ind w:firstLine="480" w:firstLineChars="200"/>
        <w:jc w:val="left"/>
        <w:rPr>
          <w:rFonts w:eastAsiaTheme="minorEastAsia"/>
          <w:kern w:val="0"/>
          <w:sz w:val="24"/>
        </w:rPr>
      </w:pPr>
      <w:r>
        <w:rPr>
          <w:rFonts w:eastAsiaTheme="minorEastAsia"/>
          <w:kern w:val="0"/>
          <w:sz w:val="24"/>
        </w:rPr>
        <w:t>比选文件在成都市温江区人民政府官网公告栏附件中自行下载，比选申请人务必于北京时间2026年10月22日16:00时（截止时间）前提交比选报名申请资料到成都市温江区规划和自然资源局（成都市温江区柳城大道东段70号）306室（不接受快递、邮寄），未在规定时间内提交报名申请视为不参加本次采购比选。比选结果将在成都市温江区人民政府官网发布。</w:t>
      </w:r>
    </w:p>
    <w:p w14:paraId="1F0839E5">
      <w:pPr>
        <w:topLinePunct/>
        <w:spacing w:line="360" w:lineRule="auto"/>
        <w:ind w:firstLine="480" w:firstLineChars="200"/>
        <w:jc w:val="left"/>
        <w:rPr>
          <w:rFonts w:eastAsiaTheme="minorEastAsia"/>
          <w:kern w:val="0"/>
          <w:sz w:val="24"/>
        </w:rPr>
      </w:pPr>
      <w:r>
        <w:rPr>
          <w:rFonts w:eastAsiaTheme="minorEastAsia"/>
          <w:kern w:val="0"/>
          <w:sz w:val="24"/>
        </w:rPr>
        <w:t>比选报名申请资料含营业执照复印件并加盖单位公章，法定代表人授权委托书（查验身份证原件），格式自拟。</w:t>
      </w:r>
    </w:p>
    <w:p w14:paraId="18972C28">
      <w:pPr>
        <w:topLinePunct/>
        <w:spacing w:line="360" w:lineRule="auto"/>
        <w:ind w:firstLine="482" w:firstLineChars="200"/>
        <w:jc w:val="left"/>
        <w:rPr>
          <w:rFonts w:eastAsiaTheme="minorEastAsia"/>
          <w:b/>
          <w:bCs/>
          <w:kern w:val="0"/>
          <w:sz w:val="24"/>
        </w:rPr>
      </w:pPr>
      <w:r>
        <w:rPr>
          <w:rFonts w:eastAsiaTheme="minorEastAsia"/>
          <w:b/>
          <w:bCs/>
          <w:kern w:val="0"/>
          <w:sz w:val="24"/>
        </w:rPr>
        <w:t>五、比选申请文件送达</w:t>
      </w:r>
    </w:p>
    <w:p w14:paraId="0B91EC9F">
      <w:pPr>
        <w:topLinePunct/>
        <w:spacing w:line="360" w:lineRule="auto"/>
        <w:ind w:firstLine="480" w:firstLineChars="200"/>
        <w:rPr>
          <w:rFonts w:eastAsiaTheme="minorEastAsia"/>
          <w:kern w:val="0"/>
          <w:sz w:val="24"/>
        </w:rPr>
      </w:pPr>
      <w:r>
        <w:rPr>
          <w:rFonts w:eastAsiaTheme="minorEastAsia"/>
          <w:kern w:val="0"/>
          <w:sz w:val="24"/>
        </w:rPr>
        <w:t>所有参加比选的企业/单位应编制“比选申请文件”，未在规定时间内递交“比选申请文件”视为不参加本次采购比选。比选申请文件用中文（简体）编制，正本一份。比选申请文件必须在截止时间2026年 10月23日10:00（北京时间）前密封送到成都市温江区柳城大道东段70号216室（不接受快递、邮寄），逾期送达不予受理。</w:t>
      </w:r>
    </w:p>
    <w:p w14:paraId="22A21181">
      <w:pPr>
        <w:topLinePunct/>
        <w:spacing w:line="360" w:lineRule="auto"/>
        <w:ind w:firstLine="482" w:firstLineChars="200"/>
        <w:jc w:val="left"/>
        <w:rPr>
          <w:rFonts w:eastAsiaTheme="minorEastAsia"/>
          <w:b/>
          <w:bCs/>
          <w:kern w:val="0"/>
          <w:sz w:val="24"/>
        </w:rPr>
      </w:pPr>
      <w:r>
        <w:rPr>
          <w:rFonts w:eastAsiaTheme="minorEastAsia"/>
          <w:b/>
          <w:bCs/>
          <w:kern w:val="0"/>
          <w:sz w:val="24"/>
        </w:rPr>
        <w:t>六、比选时间及地点</w:t>
      </w:r>
    </w:p>
    <w:p w14:paraId="73112140">
      <w:pPr>
        <w:topLinePunct/>
        <w:spacing w:line="360" w:lineRule="auto"/>
        <w:ind w:firstLine="480" w:firstLineChars="200"/>
        <w:rPr>
          <w:rFonts w:eastAsiaTheme="minorEastAsia"/>
          <w:bCs/>
          <w:kern w:val="0"/>
          <w:sz w:val="24"/>
        </w:rPr>
      </w:pPr>
      <w:r>
        <w:rPr>
          <w:rFonts w:eastAsiaTheme="minorEastAsia"/>
          <w:bCs/>
          <w:kern w:val="0"/>
          <w:sz w:val="24"/>
        </w:rPr>
        <w:t>比选时间：2026年10月23日10:00（北京时间）</w:t>
      </w:r>
    </w:p>
    <w:p w14:paraId="7E4A512B">
      <w:pPr>
        <w:topLinePunct/>
        <w:spacing w:line="360" w:lineRule="auto"/>
        <w:ind w:firstLine="480" w:firstLineChars="200"/>
        <w:rPr>
          <w:rFonts w:eastAsiaTheme="minorEastAsia"/>
          <w:bCs/>
          <w:kern w:val="0"/>
          <w:sz w:val="24"/>
        </w:rPr>
      </w:pPr>
      <w:r>
        <w:rPr>
          <w:rFonts w:eastAsiaTheme="minorEastAsia"/>
          <w:bCs/>
          <w:kern w:val="0"/>
          <w:sz w:val="24"/>
        </w:rPr>
        <w:t>比选地点：成都市温江区柳城大道70号温江区规划和自然资源局2楼216室</w:t>
      </w:r>
    </w:p>
    <w:p w14:paraId="09D09D2D">
      <w:pPr>
        <w:topLinePunct/>
        <w:spacing w:line="360" w:lineRule="auto"/>
        <w:ind w:firstLine="480" w:firstLineChars="200"/>
        <w:rPr>
          <w:rFonts w:eastAsiaTheme="minorEastAsia"/>
          <w:bCs/>
          <w:kern w:val="0"/>
          <w:sz w:val="24"/>
        </w:rPr>
      </w:pPr>
      <w:r>
        <w:rPr>
          <w:rFonts w:eastAsiaTheme="minorEastAsia"/>
          <w:bCs/>
          <w:kern w:val="0"/>
          <w:sz w:val="24"/>
        </w:rPr>
        <w:t>比选邀请人（全称）：成都市温江区规划和自然资源局</w:t>
      </w:r>
    </w:p>
    <w:p w14:paraId="5B82AFC4">
      <w:pPr>
        <w:topLinePunct/>
        <w:spacing w:line="360" w:lineRule="auto"/>
        <w:ind w:firstLine="480" w:firstLineChars="200"/>
        <w:rPr>
          <w:rFonts w:eastAsiaTheme="minorEastAsia"/>
          <w:bCs/>
          <w:kern w:val="0"/>
          <w:sz w:val="24"/>
        </w:rPr>
      </w:pPr>
      <w:r>
        <w:rPr>
          <w:rFonts w:eastAsiaTheme="minorEastAsia"/>
          <w:bCs/>
          <w:kern w:val="0"/>
          <w:sz w:val="24"/>
        </w:rPr>
        <w:t>联系地址：成都市温江区柳城大道东段70号</w:t>
      </w:r>
    </w:p>
    <w:p w14:paraId="414259BA">
      <w:pPr>
        <w:topLinePunct/>
        <w:spacing w:line="360" w:lineRule="auto"/>
        <w:ind w:firstLine="480" w:firstLineChars="200"/>
        <w:rPr>
          <w:rFonts w:eastAsiaTheme="minorEastAsia"/>
          <w:bCs/>
          <w:kern w:val="0"/>
          <w:sz w:val="24"/>
        </w:rPr>
      </w:pPr>
      <w:r>
        <w:rPr>
          <w:rFonts w:eastAsiaTheme="minorEastAsia"/>
          <w:bCs/>
          <w:kern w:val="0"/>
          <w:sz w:val="24"/>
        </w:rPr>
        <w:t>联系人：梁老师</w:t>
      </w:r>
    </w:p>
    <w:p w14:paraId="448AA3F5">
      <w:pPr>
        <w:topLinePunct/>
        <w:spacing w:line="360" w:lineRule="auto"/>
        <w:ind w:firstLine="480" w:firstLineChars="200"/>
        <w:rPr>
          <w:rFonts w:eastAsiaTheme="minorEastAsia"/>
          <w:kern w:val="0"/>
          <w:sz w:val="24"/>
        </w:rPr>
      </w:pPr>
      <w:r>
        <w:rPr>
          <w:rFonts w:eastAsiaTheme="minorEastAsia"/>
          <w:bCs/>
          <w:kern w:val="0"/>
          <w:sz w:val="24"/>
        </w:rPr>
        <w:t>联系电话：028-82722346</w:t>
      </w:r>
    </w:p>
    <w:p w14:paraId="414095F3">
      <w:pPr>
        <w:topLinePunct/>
        <w:spacing w:line="360" w:lineRule="auto"/>
        <w:ind w:left="2520" w:leftChars="1200" w:right="480" w:firstLine="3939" w:firstLineChars="1407"/>
        <w:rPr>
          <w:rFonts w:eastAsiaTheme="minorEastAsia"/>
          <w:kern w:val="0"/>
          <w:sz w:val="28"/>
          <w:szCs w:val="28"/>
        </w:rPr>
      </w:pPr>
      <w:r>
        <w:rPr>
          <w:rFonts w:eastAsiaTheme="minorEastAsia"/>
          <w:kern w:val="0"/>
          <w:sz w:val="28"/>
          <w:szCs w:val="28"/>
        </w:rPr>
        <w:br w:type="page"/>
      </w:r>
    </w:p>
    <w:p w14:paraId="23A5E1D6">
      <w:pPr>
        <w:pStyle w:val="2"/>
        <w:rPr>
          <w:rFonts w:eastAsiaTheme="minorEastAsia"/>
        </w:rPr>
      </w:pPr>
      <w:bookmarkStart w:id="7" w:name="_Toc24468"/>
      <w:bookmarkStart w:id="8" w:name="_Toc24247"/>
      <w:r>
        <w:rPr>
          <w:rFonts w:eastAsiaTheme="minorEastAsia"/>
        </w:rPr>
        <w:t>第二章  比选须知</w:t>
      </w:r>
      <w:bookmarkEnd w:id="7"/>
      <w:bookmarkEnd w:id="8"/>
    </w:p>
    <w:tbl>
      <w:tblPr>
        <w:tblStyle w:val="18"/>
        <w:tblW w:w="9142"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012"/>
        <w:gridCol w:w="2173"/>
        <w:gridCol w:w="5957"/>
      </w:tblGrid>
      <w:tr w14:paraId="0495311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blHeader/>
          <w:jc w:val="center"/>
        </w:trPr>
        <w:tc>
          <w:tcPr>
            <w:tcW w:w="1012" w:type="dxa"/>
            <w:vAlign w:val="center"/>
          </w:tcPr>
          <w:p w14:paraId="4AFCB8CB">
            <w:pPr>
              <w:topLinePunct/>
              <w:spacing w:line="360" w:lineRule="auto"/>
              <w:jc w:val="center"/>
              <w:rPr>
                <w:rFonts w:eastAsiaTheme="minorEastAsia"/>
                <w:b/>
                <w:sz w:val="24"/>
              </w:rPr>
            </w:pPr>
            <w:r>
              <w:rPr>
                <w:rFonts w:eastAsiaTheme="minorEastAsia"/>
                <w:b/>
                <w:sz w:val="24"/>
              </w:rPr>
              <w:t>序号</w:t>
            </w:r>
          </w:p>
        </w:tc>
        <w:tc>
          <w:tcPr>
            <w:tcW w:w="2173" w:type="dxa"/>
            <w:vAlign w:val="center"/>
          </w:tcPr>
          <w:p w14:paraId="0C28362F">
            <w:pPr>
              <w:topLinePunct/>
              <w:spacing w:line="360" w:lineRule="auto"/>
              <w:jc w:val="center"/>
              <w:rPr>
                <w:rFonts w:eastAsiaTheme="minorEastAsia"/>
                <w:b/>
                <w:sz w:val="24"/>
              </w:rPr>
            </w:pPr>
            <w:r>
              <w:rPr>
                <w:rFonts w:eastAsiaTheme="minorEastAsia"/>
                <w:b/>
                <w:sz w:val="24"/>
              </w:rPr>
              <w:t>条款名称</w:t>
            </w:r>
          </w:p>
        </w:tc>
        <w:tc>
          <w:tcPr>
            <w:tcW w:w="5957" w:type="dxa"/>
            <w:vAlign w:val="center"/>
          </w:tcPr>
          <w:p w14:paraId="19BFC0B6">
            <w:pPr>
              <w:topLinePunct/>
              <w:spacing w:line="360" w:lineRule="auto"/>
              <w:jc w:val="center"/>
              <w:rPr>
                <w:rFonts w:eastAsiaTheme="minorEastAsia"/>
                <w:b/>
                <w:sz w:val="24"/>
              </w:rPr>
            </w:pPr>
            <w:r>
              <w:rPr>
                <w:rFonts w:eastAsiaTheme="minorEastAsia"/>
                <w:b/>
                <w:sz w:val="24"/>
              </w:rPr>
              <w:t>说明和要求</w:t>
            </w:r>
          </w:p>
        </w:tc>
      </w:tr>
      <w:tr w14:paraId="6938B14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94" w:hRule="atLeast"/>
          <w:jc w:val="center"/>
        </w:trPr>
        <w:tc>
          <w:tcPr>
            <w:tcW w:w="1012" w:type="dxa"/>
            <w:vAlign w:val="center"/>
          </w:tcPr>
          <w:p w14:paraId="60E695C1">
            <w:pPr>
              <w:topLinePunct/>
              <w:spacing w:line="360" w:lineRule="auto"/>
              <w:jc w:val="center"/>
              <w:rPr>
                <w:rFonts w:eastAsiaTheme="minorEastAsia"/>
                <w:sz w:val="24"/>
              </w:rPr>
            </w:pPr>
            <w:r>
              <w:rPr>
                <w:rFonts w:eastAsiaTheme="minorEastAsia"/>
                <w:sz w:val="24"/>
              </w:rPr>
              <w:t>1</w:t>
            </w:r>
          </w:p>
        </w:tc>
        <w:tc>
          <w:tcPr>
            <w:tcW w:w="2173" w:type="dxa"/>
            <w:vAlign w:val="center"/>
          </w:tcPr>
          <w:p w14:paraId="0C27537D">
            <w:pPr>
              <w:topLinePunct/>
              <w:spacing w:line="360" w:lineRule="auto"/>
              <w:jc w:val="center"/>
              <w:rPr>
                <w:rFonts w:eastAsiaTheme="minorEastAsia"/>
                <w:sz w:val="24"/>
              </w:rPr>
            </w:pPr>
            <w:r>
              <w:rPr>
                <w:rFonts w:eastAsiaTheme="minorEastAsia"/>
                <w:sz w:val="24"/>
              </w:rPr>
              <w:t>采购人</w:t>
            </w:r>
          </w:p>
        </w:tc>
        <w:tc>
          <w:tcPr>
            <w:tcW w:w="5957" w:type="dxa"/>
            <w:vAlign w:val="center"/>
          </w:tcPr>
          <w:p w14:paraId="714AD6E5">
            <w:pPr>
              <w:topLinePunct/>
              <w:spacing w:line="360" w:lineRule="auto"/>
              <w:jc w:val="center"/>
              <w:rPr>
                <w:rFonts w:eastAsiaTheme="minorEastAsia"/>
                <w:sz w:val="24"/>
              </w:rPr>
            </w:pPr>
            <w:r>
              <w:rPr>
                <w:rFonts w:eastAsiaTheme="minorEastAsia"/>
                <w:sz w:val="24"/>
              </w:rPr>
              <w:t>成都市温江区规划和自然资源局</w:t>
            </w:r>
          </w:p>
        </w:tc>
      </w:tr>
      <w:tr w14:paraId="75D92E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jc w:val="center"/>
        </w:trPr>
        <w:tc>
          <w:tcPr>
            <w:tcW w:w="1012" w:type="dxa"/>
            <w:vAlign w:val="center"/>
          </w:tcPr>
          <w:p w14:paraId="303B672C">
            <w:pPr>
              <w:topLinePunct/>
              <w:spacing w:line="360" w:lineRule="auto"/>
              <w:jc w:val="center"/>
              <w:rPr>
                <w:rFonts w:eastAsiaTheme="minorEastAsia"/>
                <w:sz w:val="24"/>
              </w:rPr>
            </w:pPr>
            <w:r>
              <w:rPr>
                <w:rFonts w:eastAsiaTheme="minorEastAsia"/>
                <w:sz w:val="24"/>
              </w:rPr>
              <w:t>2</w:t>
            </w:r>
          </w:p>
        </w:tc>
        <w:tc>
          <w:tcPr>
            <w:tcW w:w="2173" w:type="dxa"/>
            <w:vAlign w:val="center"/>
          </w:tcPr>
          <w:p w14:paraId="50EA7DA5">
            <w:pPr>
              <w:topLinePunct/>
              <w:spacing w:line="360" w:lineRule="auto"/>
              <w:jc w:val="center"/>
              <w:rPr>
                <w:rFonts w:eastAsiaTheme="minorEastAsia"/>
                <w:sz w:val="24"/>
              </w:rPr>
            </w:pPr>
            <w:r>
              <w:rPr>
                <w:rFonts w:eastAsiaTheme="minorEastAsia"/>
                <w:sz w:val="24"/>
              </w:rPr>
              <w:t>比选项目名称</w:t>
            </w:r>
          </w:p>
        </w:tc>
        <w:tc>
          <w:tcPr>
            <w:tcW w:w="5957" w:type="dxa"/>
            <w:vAlign w:val="center"/>
          </w:tcPr>
          <w:p w14:paraId="66EBBFF2">
            <w:pPr>
              <w:topLinePunct/>
              <w:spacing w:line="360" w:lineRule="auto"/>
              <w:jc w:val="center"/>
              <w:rPr>
                <w:rFonts w:eastAsiaTheme="minorEastAsia"/>
                <w:sz w:val="24"/>
              </w:rPr>
            </w:pPr>
            <w:r>
              <w:rPr>
                <w:rFonts w:eastAsiaTheme="minorEastAsia"/>
                <w:sz w:val="24"/>
              </w:rPr>
              <w:t>温江区2026年农村宅基地和住房定位验线服务项目</w:t>
            </w:r>
          </w:p>
        </w:tc>
      </w:tr>
      <w:tr w14:paraId="02C04F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012" w:type="dxa"/>
            <w:vAlign w:val="center"/>
          </w:tcPr>
          <w:p w14:paraId="00AF8F27">
            <w:pPr>
              <w:topLinePunct/>
              <w:spacing w:line="360" w:lineRule="auto"/>
              <w:jc w:val="center"/>
              <w:rPr>
                <w:rFonts w:eastAsiaTheme="minorEastAsia"/>
                <w:sz w:val="24"/>
              </w:rPr>
            </w:pPr>
            <w:r>
              <w:rPr>
                <w:rFonts w:eastAsiaTheme="minorEastAsia"/>
                <w:sz w:val="24"/>
              </w:rPr>
              <w:t>3</w:t>
            </w:r>
          </w:p>
        </w:tc>
        <w:tc>
          <w:tcPr>
            <w:tcW w:w="2173" w:type="dxa"/>
            <w:vAlign w:val="center"/>
          </w:tcPr>
          <w:p w14:paraId="76978574">
            <w:pPr>
              <w:topLinePunct/>
              <w:spacing w:line="360" w:lineRule="auto"/>
              <w:jc w:val="center"/>
              <w:rPr>
                <w:rFonts w:eastAsiaTheme="minorEastAsia"/>
                <w:sz w:val="24"/>
              </w:rPr>
            </w:pPr>
            <w:r>
              <w:rPr>
                <w:rFonts w:eastAsiaTheme="minorEastAsia"/>
                <w:sz w:val="24"/>
              </w:rPr>
              <w:t>比选数量及方式</w:t>
            </w:r>
          </w:p>
        </w:tc>
        <w:tc>
          <w:tcPr>
            <w:tcW w:w="5957" w:type="dxa"/>
            <w:vAlign w:val="center"/>
          </w:tcPr>
          <w:p w14:paraId="0792F52A">
            <w:pPr>
              <w:topLinePunct/>
              <w:spacing w:line="360" w:lineRule="auto"/>
              <w:jc w:val="center"/>
              <w:rPr>
                <w:rFonts w:eastAsiaTheme="minorEastAsia"/>
                <w:sz w:val="24"/>
              </w:rPr>
            </w:pPr>
            <w:r>
              <w:rPr>
                <w:rFonts w:eastAsiaTheme="minorEastAsia"/>
                <w:sz w:val="24"/>
              </w:rPr>
              <w:t>不少于3家；综合评分</w:t>
            </w:r>
          </w:p>
        </w:tc>
      </w:tr>
      <w:tr w14:paraId="77B405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012" w:type="dxa"/>
            <w:vAlign w:val="center"/>
          </w:tcPr>
          <w:p w14:paraId="1707A946">
            <w:pPr>
              <w:topLinePunct/>
              <w:spacing w:line="360" w:lineRule="auto"/>
              <w:jc w:val="center"/>
              <w:rPr>
                <w:rFonts w:eastAsiaTheme="minorEastAsia"/>
                <w:sz w:val="24"/>
              </w:rPr>
            </w:pPr>
            <w:r>
              <w:rPr>
                <w:rFonts w:eastAsiaTheme="minorEastAsia"/>
                <w:sz w:val="24"/>
              </w:rPr>
              <w:t>4</w:t>
            </w:r>
          </w:p>
        </w:tc>
        <w:tc>
          <w:tcPr>
            <w:tcW w:w="2173" w:type="dxa"/>
            <w:vAlign w:val="center"/>
          </w:tcPr>
          <w:p w14:paraId="0D7A0EC7">
            <w:pPr>
              <w:topLinePunct/>
              <w:spacing w:line="360" w:lineRule="auto"/>
              <w:jc w:val="center"/>
              <w:rPr>
                <w:rFonts w:eastAsiaTheme="minorEastAsia"/>
                <w:sz w:val="24"/>
              </w:rPr>
            </w:pPr>
            <w:r>
              <w:rPr>
                <w:rFonts w:eastAsiaTheme="minorEastAsia"/>
                <w:sz w:val="24"/>
              </w:rPr>
              <w:t>质量要求</w:t>
            </w:r>
          </w:p>
        </w:tc>
        <w:tc>
          <w:tcPr>
            <w:tcW w:w="5957" w:type="dxa"/>
            <w:vAlign w:val="center"/>
          </w:tcPr>
          <w:p w14:paraId="60937D05">
            <w:pPr>
              <w:topLinePunct/>
              <w:spacing w:line="360" w:lineRule="auto"/>
              <w:jc w:val="center"/>
              <w:rPr>
                <w:rFonts w:eastAsiaTheme="minorEastAsia"/>
                <w:sz w:val="24"/>
              </w:rPr>
            </w:pPr>
            <w:r>
              <w:rPr>
                <w:rFonts w:eastAsiaTheme="minorEastAsia"/>
                <w:sz w:val="24"/>
              </w:rPr>
              <w:t>合格</w:t>
            </w:r>
          </w:p>
        </w:tc>
      </w:tr>
      <w:tr w14:paraId="3AC7CB6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012" w:type="dxa"/>
            <w:vAlign w:val="center"/>
          </w:tcPr>
          <w:p w14:paraId="2C160119">
            <w:pPr>
              <w:topLinePunct/>
              <w:spacing w:line="360" w:lineRule="auto"/>
              <w:jc w:val="center"/>
              <w:rPr>
                <w:rFonts w:eastAsiaTheme="minorEastAsia"/>
                <w:sz w:val="24"/>
              </w:rPr>
            </w:pPr>
            <w:r>
              <w:rPr>
                <w:rFonts w:eastAsiaTheme="minorEastAsia"/>
                <w:sz w:val="24"/>
              </w:rPr>
              <w:t>5</w:t>
            </w:r>
          </w:p>
        </w:tc>
        <w:tc>
          <w:tcPr>
            <w:tcW w:w="2173" w:type="dxa"/>
            <w:vAlign w:val="center"/>
          </w:tcPr>
          <w:p w14:paraId="7DD0CDFC">
            <w:pPr>
              <w:topLinePunct/>
              <w:spacing w:line="360" w:lineRule="auto"/>
              <w:jc w:val="center"/>
              <w:rPr>
                <w:rFonts w:eastAsiaTheme="minorEastAsia"/>
                <w:sz w:val="24"/>
              </w:rPr>
            </w:pPr>
            <w:r>
              <w:rPr>
                <w:rFonts w:eastAsiaTheme="minorEastAsia"/>
                <w:sz w:val="24"/>
              </w:rPr>
              <w:t>联合体</w:t>
            </w:r>
          </w:p>
        </w:tc>
        <w:tc>
          <w:tcPr>
            <w:tcW w:w="5957" w:type="dxa"/>
            <w:vAlign w:val="center"/>
          </w:tcPr>
          <w:p w14:paraId="532D3209">
            <w:pPr>
              <w:topLinePunct/>
              <w:spacing w:line="360" w:lineRule="auto"/>
              <w:jc w:val="center"/>
              <w:rPr>
                <w:rFonts w:eastAsiaTheme="minorEastAsia"/>
                <w:sz w:val="24"/>
              </w:rPr>
            </w:pPr>
            <w:r>
              <w:rPr>
                <w:rFonts w:eastAsiaTheme="minorEastAsia"/>
                <w:sz w:val="24"/>
              </w:rPr>
              <w:t>不接受</w:t>
            </w:r>
          </w:p>
        </w:tc>
      </w:tr>
      <w:tr w14:paraId="61F973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012" w:type="dxa"/>
            <w:vAlign w:val="center"/>
          </w:tcPr>
          <w:p w14:paraId="16F499C5">
            <w:pPr>
              <w:topLinePunct/>
              <w:spacing w:line="360" w:lineRule="auto"/>
              <w:jc w:val="center"/>
              <w:rPr>
                <w:rFonts w:eastAsiaTheme="minorEastAsia"/>
                <w:sz w:val="24"/>
              </w:rPr>
            </w:pPr>
            <w:r>
              <w:rPr>
                <w:rFonts w:eastAsiaTheme="minorEastAsia"/>
                <w:sz w:val="24"/>
              </w:rPr>
              <w:t>6</w:t>
            </w:r>
          </w:p>
        </w:tc>
        <w:tc>
          <w:tcPr>
            <w:tcW w:w="2173" w:type="dxa"/>
            <w:vAlign w:val="center"/>
          </w:tcPr>
          <w:p w14:paraId="50CA1532">
            <w:pPr>
              <w:topLinePunct/>
              <w:spacing w:line="360" w:lineRule="auto"/>
              <w:jc w:val="center"/>
              <w:rPr>
                <w:rFonts w:eastAsiaTheme="minorEastAsia"/>
                <w:sz w:val="24"/>
              </w:rPr>
            </w:pPr>
            <w:r>
              <w:rPr>
                <w:rFonts w:eastAsiaTheme="minorEastAsia"/>
                <w:sz w:val="24"/>
              </w:rPr>
              <w:t>答疑会</w:t>
            </w:r>
          </w:p>
        </w:tc>
        <w:tc>
          <w:tcPr>
            <w:tcW w:w="5957" w:type="dxa"/>
            <w:vAlign w:val="center"/>
          </w:tcPr>
          <w:p w14:paraId="5EC0BEA2">
            <w:pPr>
              <w:topLinePunct/>
              <w:spacing w:line="360" w:lineRule="auto"/>
              <w:jc w:val="center"/>
              <w:rPr>
                <w:rFonts w:eastAsiaTheme="minorEastAsia"/>
                <w:sz w:val="24"/>
              </w:rPr>
            </w:pPr>
            <w:r>
              <w:rPr>
                <w:rFonts w:eastAsiaTheme="minorEastAsia"/>
                <w:sz w:val="24"/>
              </w:rPr>
              <w:t>不召开</w:t>
            </w:r>
          </w:p>
        </w:tc>
      </w:tr>
      <w:tr w14:paraId="3FC809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012" w:type="dxa"/>
            <w:vAlign w:val="center"/>
          </w:tcPr>
          <w:p w14:paraId="47EAD19A">
            <w:pPr>
              <w:topLinePunct/>
              <w:spacing w:line="360" w:lineRule="auto"/>
              <w:jc w:val="center"/>
              <w:rPr>
                <w:rFonts w:eastAsiaTheme="minorEastAsia"/>
                <w:sz w:val="24"/>
              </w:rPr>
            </w:pPr>
            <w:r>
              <w:rPr>
                <w:rFonts w:eastAsiaTheme="minorEastAsia"/>
                <w:sz w:val="24"/>
              </w:rPr>
              <w:t>7</w:t>
            </w:r>
          </w:p>
        </w:tc>
        <w:tc>
          <w:tcPr>
            <w:tcW w:w="2173" w:type="dxa"/>
            <w:vAlign w:val="center"/>
          </w:tcPr>
          <w:p w14:paraId="5B51FF0D">
            <w:pPr>
              <w:topLinePunct/>
              <w:spacing w:line="360" w:lineRule="auto"/>
              <w:jc w:val="center"/>
              <w:rPr>
                <w:rFonts w:eastAsiaTheme="minorEastAsia"/>
                <w:sz w:val="24"/>
              </w:rPr>
            </w:pPr>
            <w:r>
              <w:rPr>
                <w:rFonts w:eastAsiaTheme="minorEastAsia"/>
                <w:sz w:val="24"/>
              </w:rPr>
              <w:t>比选申请人对比选文件提出质疑的时间</w:t>
            </w:r>
          </w:p>
        </w:tc>
        <w:tc>
          <w:tcPr>
            <w:tcW w:w="5957" w:type="dxa"/>
            <w:vAlign w:val="center"/>
          </w:tcPr>
          <w:p w14:paraId="47485C4F">
            <w:pPr>
              <w:topLinePunct/>
              <w:spacing w:line="360" w:lineRule="auto"/>
              <w:jc w:val="center"/>
              <w:rPr>
                <w:rFonts w:eastAsiaTheme="minorEastAsia"/>
                <w:sz w:val="24"/>
              </w:rPr>
            </w:pPr>
            <w:r>
              <w:rPr>
                <w:rFonts w:eastAsiaTheme="minorEastAsia"/>
                <w:sz w:val="24"/>
              </w:rPr>
              <w:t>自比选文件发布时间起的二个工作日内</w:t>
            </w:r>
          </w:p>
        </w:tc>
      </w:tr>
      <w:tr w14:paraId="711B26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74" w:hRule="atLeast"/>
          <w:jc w:val="center"/>
        </w:trPr>
        <w:tc>
          <w:tcPr>
            <w:tcW w:w="1012" w:type="dxa"/>
            <w:vAlign w:val="center"/>
          </w:tcPr>
          <w:p w14:paraId="0A43264D">
            <w:pPr>
              <w:topLinePunct/>
              <w:spacing w:line="360" w:lineRule="auto"/>
              <w:jc w:val="center"/>
              <w:rPr>
                <w:rFonts w:eastAsiaTheme="minorEastAsia"/>
                <w:sz w:val="24"/>
              </w:rPr>
            </w:pPr>
            <w:r>
              <w:rPr>
                <w:rFonts w:eastAsiaTheme="minorEastAsia"/>
                <w:sz w:val="24"/>
              </w:rPr>
              <w:t>8</w:t>
            </w:r>
          </w:p>
        </w:tc>
        <w:tc>
          <w:tcPr>
            <w:tcW w:w="2173" w:type="dxa"/>
            <w:vAlign w:val="center"/>
          </w:tcPr>
          <w:p w14:paraId="0F90C939">
            <w:pPr>
              <w:topLinePunct/>
              <w:spacing w:line="360" w:lineRule="auto"/>
              <w:jc w:val="center"/>
              <w:rPr>
                <w:rFonts w:eastAsiaTheme="minorEastAsia"/>
                <w:sz w:val="24"/>
              </w:rPr>
            </w:pPr>
            <w:r>
              <w:rPr>
                <w:rFonts w:eastAsiaTheme="minorEastAsia"/>
                <w:sz w:val="24"/>
              </w:rPr>
              <w:t>分包</w:t>
            </w:r>
          </w:p>
        </w:tc>
        <w:tc>
          <w:tcPr>
            <w:tcW w:w="5957" w:type="dxa"/>
            <w:vAlign w:val="center"/>
          </w:tcPr>
          <w:p w14:paraId="7CD65F41">
            <w:pPr>
              <w:topLinePunct/>
              <w:spacing w:line="360" w:lineRule="auto"/>
              <w:jc w:val="center"/>
              <w:rPr>
                <w:rFonts w:eastAsiaTheme="minorEastAsia"/>
                <w:sz w:val="24"/>
              </w:rPr>
            </w:pPr>
            <w:r>
              <w:rPr>
                <w:rFonts w:eastAsiaTheme="minorEastAsia"/>
                <w:sz w:val="24"/>
              </w:rPr>
              <w:t>不允许</w:t>
            </w:r>
          </w:p>
        </w:tc>
      </w:tr>
      <w:tr w14:paraId="2C6B3F1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012" w:type="dxa"/>
            <w:vAlign w:val="center"/>
          </w:tcPr>
          <w:p w14:paraId="5E65D09F">
            <w:pPr>
              <w:topLinePunct/>
              <w:spacing w:line="360" w:lineRule="auto"/>
              <w:jc w:val="center"/>
              <w:rPr>
                <w:rFonts w:eastAsiaTheme="minorEastAsia"/>
                <w:sz w:val="24"/>
              </w:rPr>
            </w:pPr>
            <w:r>
              <w:rPr>
                <w:rFonts w:eastAsiaTheme="minorEastAsia"/>
                <w:sz w:val="24"/>
              </w:rPr>
              <w:t>9</w:t>
            </w:r>
          </w:p>
        </w:tc>
        <w:tc>
          <w:tcPr>
            <w:tcW w:w="2173" w:type="dxa"/>
            <w:vAlign w:val="center"/>
          </w:tcPr>
          <w:p w14:paraId="44C2D18D">
            <w:pPr>
              <w:topLinePunct/>
              <w:spacing w:line="360" w:lineRule="auto"/>
              <w:jc w:val="center"/>
              <w:rPr>
                <w:rFonts w:eastAsiaTheme="minorEastAsia"/>
                <w:sz w:val="24"/>
              </w:rPr>
            </w:pPr>
            <w:r>
              <w:rPr>
                <w:rFonts w:eastAsiaTheme="minorEastAsia"/>
                <w:sz w:val="24"/>
              </w:rPr>
              <w:t>构成比选文件</w:t>
            </w:r>
          </w:p>
          <w:p w14:paraId="5C54ECFA">
            <w:pPr>
              <w:topLinePunct/>
              <w:spacing w:line="360" w:lineRule="auto"/>
              <w:jc w:val="center"/>
              <w:rPr>
                <w:rFonts w:eastAsiaTheme="minorEastAsia"/>
                <w:sz w:val="24"/>
              </w:rPr>
            </w:pPr>
            <w:r>
              <w:rPr>
                <w:rFonts w:eastAsiaTheme="minorEastAsia"/>
                <w:sz w:val="24"/>
              </w:rPr>
              <w:t>的其他文件</w:t>
            </w:r>
          </w:p>
        </w:tc>
        <w:tc>
          <w:tcPr>
            <w:tcW w:w="5957" w:type="dxa"/>
            <w:vAlign w:val="center"/>
          </w:tcPr>
          <w:p w14:paraId="431115D4">
            <w:pPr>
              <w:topLinePunct/>
              <w:spacing w:line="360" w:lineRule="auto"/>
              <w:jc w:val="center"/>
              <w:rPr>
                <w:rFonts w:eastAsiaTheme="minorEastAsia"/>
                <w:sz w:val="24"/>
              </w:rPr>
            </w:pPr>
            <w:r>
              <w:rPr>
                <w:rFonts w:eastAsiaTheme="minorEastAsia"/>
                <w:sz w:val="24"/>
              </w:rPr>
              <w:t>比选文件的澄清、修改书及有关补充通知为比选文件的有效组成部分</w:t>
            </w:r>
          </w:p>
        </w:tc>
      </w:tr>
      <w:tr w14:paraId="010CD8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2" w:hRule="atLeast"/>
          <w:jc w:val="center"/>
        </w:trPr>
        <w:tc>
          <w:tcPr>
            <w:tcW w:w="1012" w:type="dxa"/>
            <w:vAlign w:val="center"/>
          </w:tcPr>
          <w:p w14:paraId="0ED62266">
            <w:pPr>
              <w:topLinePunct/>
              <w:spacing w:line="360" w:lineRule="auto"/>
              <w:jc w:val="center"/>
              <w:rPr>
                <w:rFonts w:eastAsiaTheme="minorEastAsia"/>
                <w:sz w:val="24"/>
              </w:rPr>
            </w:pPr>
            <w:r>
              <w:rPr>
                <w:rFonts w:eastAsiaTheme="minorEastAsia"/>
                <w:sz w:val="24"/>
              </w:rPr>
              <w:t>10</w:t>
            </w:r>
          </w:p>
        </w:tc>
        <w:tc>
          <w:tcPr>
            <w:tcW w:w="2173" w:type="dxa"/>
            <w:vAlign w:val="center"/>
          </w:tcPr>
          <w:p w14:paraId="32AC487C">
            <w:pPr>
              <w:topLinePunct/>
              <w:spacing w:line="360" w:lineRule="auto"/>
              <w:jc w:val="center"/>
              <w:rPr>
                <w:rFonts w:eastAsiaTheme="minorEastAsia"/>
                <w:sz w:val="24"/>
              </w:rPr>
            </w:pPr>
            <w:r>
              <w:rPr>
                <w:rFonts w:eastAsiaTheme="minorEastAsia"/>
                <w:sz w:val="24"/>
              </w:rPr>
              <w:t>签字盖章</w:t>
            </w:r>
          </w:p>
        </w:tc>
        <w:tc>
          <w:tcPr>
            <w:tcW w:w="5957" w:type="dxa"/>
            <w:vAlign w:val="center"/>
          </w:tcPr>
          <w:p w14:paraId="3660F52B">
            <w:pPr>
              <w:topLinePunct/>
              <w:spacing w:line="360" w:lineRule="auto"/>
              <w:jc w:val="center"/>
              <w:rPr>
                <w:rFonts w:eastAsiaTheme="minorEastAsia"/>
                <w:sz w:val="24"/>
              </w:rPr>
            </w:pPr>
            <w:r>
              <w:rPr>
                <w:rFonts w:eastAsiaTheme="minorEastAsia"/>
                <w:sz w:val="24"/>
              </w:rPr>
              <w:t>比选申请人必须按照比选文件的规定和要求签字、盖章(法人代表的签字可用具有法定效力的签字章)。</w:t>
            </w:r>
          </w:p>
        </w:tc>
      </w:tr>
      <w:tr w14:paraId="77B8CB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jc w:val="center"/>
        </w:trPr>
        <w:tc>
          <w:tcPr>
            <w:tcW w:w="1012" w:type="dxa"/>
            <w:vAlign w:val="center"/>
          </w:tcPr>
          <w:p w14:paraId="6738AC8B">
            <w:pPr>
              <w:topLinePunct/>
              <w:spacing w:line="360" w:lineRule="auto"/>
              <w:jc w:val="center"/>
              <w:rPr>
                <w:rFonts w:eastAsiaTheme="minorEastAsia"/>
                <w:sz w:val="24"/>
              </w:rPr>
            </w:pPr>
            <w:r>
              <w:rPr>
                <w:rFonts w:eastAsiaTheme="minorEastAsia"/>
                <w:sz w:val="24"/>
              </w:rPr>
              <w:t>11</w:t>
            </w:r>
          </w:p>
        </w:tc>
        <w:tc>
          <w:tcPr>
            <w:tcW w:w="2173" w:type="dxa"/>
            <w:vAlign w:val="center"/>
          </w:tcPr>
          <w:p w14:paraId="5EE90B64">
            <w:pPr>
              <w:topLinePunct/>
              <w:spacing w:line="360" w:lineRule="auto"/>
              <w:jc w:val="center"/>
              <w:rPr>
                <w:rFonts w:eastAsiaTheme="minorEastAsia"/>
                <w:sz w:val="24"/>
              </w:rPr>
            </w:pPr>
            <w:r>
              <w:rPr>
                <w:rFonts w:eastAsiaTheme="minorEastAsia"/>
                <w:sz w:val="24"/>
              </w:rPr>
              <w:t>比选申请文件份数</w:t>
            </w:r>
          </w:p>
        </w:tc>
        <w:tc>
          <w:tcPr>
            <w:tcW w:w="5957" w:type="dxa"/>
            <w:vAlign w:val="center"/>
          </w:tcPr>
          <w:p w14:paraId="51F01692">
            <w:pPr>
              <w:topLinePunct/>
              <w:spacing w:line="360" w:lineRule="auto"/>
              <w:jc w:val="center"/>
              <w:rPr>
                <w:rFonts w:eastAsiaTheme="minorEastAsia"/>
                <w:sz w:val="24"/>
              </w:rPr>
            </w:pPr>
            <w:r>
              <w:rPr>
                <w:rFonts w:eastAsiaTheme="minorEastAsia"/>
                <w:sz w:val="24"/>
              </w:rPr>
              <w:t xml:space="preserve">正本 1 份； </w:t>
            </w:r>
          </w:p>
        </w:tc>
      </w:tr>
      <w:tr w14:paraId="29B394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153" w:hRule="atLeast"/>
          <w:jc w:val="center"/>
        </w:trPr>
        <w:tc>
          <w:tcPr>
            <w:tcW w:w="1012" w:type="dxa"/>
            <w:vAlign w:val="center"/>
          </w:tcPr>
          <w:p w14:paraId="4FB7E70E">
            <w:pPr>
              <w:topLinePunct/>
              <w:spacing w:line="360" w:lineRule="auto"/>
              <w:jc w:val="center"/>
              <w:rPr>
                <w:rFonts w:eastAsiaTheme="minorEastAsia"/>
                <w:sz w:val="24"/>
              </w:rPr>
            </w:pPr>
            <w:r>
              <w:rPr>
                <w:rFonts w:eastAsiaTheme="minorEastAsia"/>
                <w:sz w:val="24"/>
              </w:rPr>
              <w:t>12</w:t>
            </w:r>
          </w:p>
        </w:tc>
        <w:tc>
          <w:tcPr>
            <w:tcW w:w="2173" w:type="dxa"/>
            <w:vAlign w:val="center"/>
          </w:tcPr>
          <w:p w14:paraId="528021C8">
            <w:pPr>
              <w:topLinePunct/>
              <w:spacing w:line="360" w:lineRule="auto"/>
              <w:jc w:val="center"/>
              <w:rPr>
                <w:rFonts w:eastAsiaTheme="minorEastAsia"/>
                <w:sz w:val="24"/>
              </w:rPr>
            </w:pPr>
            <w:r>
              <w:rPr>
                <w:rFonts w:eastAsiaTheme="minorEastAsia"/>
                <w:sz w:val="24"/>
              </w:rPr>
              <w:t>比选申请文件封面的标注</w:t>
            </w:r>
          </w:p>
        </w:tc>
        <w:tc>
          <w:tcPr>
            <w:tcW w:w="5957" w:type="dxa"/>
            <w:vAlign w:val="center"/>
          </w:tcPr>
          <w:p w14:paraId="320F9561">
            <w:pPr>
              <w:topLinePunct/>
              <w:spacing w:line="360" w:lineRule="auto"/>
              <w:ind w:left="239" w:leftChars="114"/>
              <w:jc w:val="left"/>
              <w:rPr>
                <w:rFonts w:eastAsiaTheme="minorEastAsia"/>
                <w:sz w:val="24"/>
              </w:rPr>
            </w:pPr>
            <w:r>
              <w:rPr>
                <w:rFonts w:eastAsiaTheme="minorEastAsia"/>
                <w:sz w:val="24"/>
              </w:rPr>
              <w:t>比选申请文件正本封面上均应标明：比选项目名称、标段号(如涉及则标明)、比选申请人名称、年月日；并在右上角标明“正本”字样。</w:t>
            </w:r>
          </w:p>
        </w:tc>
      </w:tr>
      <w:tr w14:paraId="6D4AB2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2" w:hRule="atLeast"/>
          <w:jc w:val="center"/>
        </w:trPr>
        <w:tc>
          <w:tcPr>
            <w:tcW w:w="1012" w:type="dxa"/>
            <w:vAlign w:val="center"/>
          </w:tcPr>
          <w:p w14:paraId="55137962">
            <w:pPr>
              <w:topLinePunct/>
              <w:spacing w:line="360" w:lineRule="auto"/>
              <w:jc w:val="center"/>
              <w:rPr>
                <w:rFonts w:eastAsiaTheme="minorEastAsia"/>
                <w:sz w:val="24"/>
              </w:rPr>
            </w:pPr>
            <w:r>
              <w:rPr>
                <w:rFonts w:eastAsiaTheme="minorEastAsia"/>
                <w:sz w:val="24"/>
              </w:rPr>
              <w:t>13</w:t>
            </w:r>
          </w:p>
        </w:tc>
        <w:tc>
          <w:tcPr>
            <w:tcW w:w="2173" w:type="dxa"/>
            <w:vAlign w:val="center"/>
          </w:tcPr>
          <w:p w14:paraId="073684BA">
            <w:pPr>
              <w:topLinePunct/>
              <w:spacing w:line="360" w:lineRule="auto"/>
              <w:jc w:val="center"/>
              <w:rPr>
                <w:rFonts w:eastAsiaTheme="minorEastAsia"/>
                <w:sz w:val="24"/>
              </w:rPr>
            </w:pPr>
            <w:r>
              <w:rPr>
                <w:rFonts w:eastAsiaTheme="minorEastAsia"/>
                <w:sz w:val="24"/>
              </w:rPr>
              <w:t>比选申请文件外层密封袋的标注</w:t>
            </w:r>
          </w:p>
        </w:tc>
        <w:tc>
          <w:tcPr>
            <w:tcW w:w="5957" w:type="dxa"/>
            <w:vAlign w:val="center"/>
          </w:tcPr>
          <w:p w14:paraId="0EC17171">
            <w:pPr>
              <w:topLinePunct/>
              <w:spacing w:line="360" w:lineRule="auto"/>
              <w:ind w:left="239" w:leftChars="114"/>
              <w:jc w:val="center"/>
              <w:rPr>
                <w:rFonts w:eastAsiaTheme="minorEastAsia"/>
                <w:sz w:val="24"/>
              </w:rPr>
            </w:pPr>
            <w:r>
              <w:rPr>
                <w:rFonts w:eastAsiaTheme="minorEastAsia"/>
                <w:sz w:val="24"/>
              </w:rPr>
              <w:t>比选项目名称、比选申请人名称、年月日。</w:t>
            </w:r>
          </w:p>
        </w:tc>
      </w:tr>
    </w:tbl>
    <w:p w14:paraId="6D46A424">
      <w:pPr>
        <w:widowControl/>
        <w:jc w:val="left"/>
        <w:rPr>
          <w:b/>
          <w:bCs/>
          <w:sz w:val="24"/>
        </w:rPr>
      </w:pPr>
      <w:r>
        <w:rPr>
          <w:b/>
          <w:bCs/>
          <w:sz w:val="24"/>
          <w:lang w:bidi="ar"/>
        </w:rPr>
        <w:t>注：本附表以外关于其他内容是对比选须知的具体补充，如有矛盾，以本附表为准。</w:t>
      </w:r>
    </w:p>
    <w:p w14:paraId="20CEE7B0">
      <w:pPr>
        <w:topLinePunct/>
        <w:spacing w:line="360" w:lineRule="auto"/>
        <w:ind w:firstLine="482" w:firstLineChars="200"/>
        <w:jc w:val="left"/>
        <w:rPr>
          <w:rFonts w:eastAsiaTheme="minorEastAsia"/>
          <w:b/>
          <w:bCs/>
          <w:kern w:val="0"/>
          <w:sz w:val="24"/>
        </w:rPr>
      </w:pPr>
    </w:p>
    <w:p w14:paraId="4A936A59">
      <w:pPr>
        <w:pStyle w:val="23"/>
        <w:rPr>
          <w:rFonts w:ascii="Times New Roman" w:hAnsi="Times New Roman" w:eastAsiaTheme="minorEastAsia"/>
          <w:b/>
          <w:bCs/>
          <w:color w:val="auto"/>
        </w:rPr>
      </w:pPr>
    </w:p>
    <w:p w14:paraId="582875A0">
      <w:pPr>
        <w:pStyle w:val="23"/>
        <w:rPr>
          <w:rFonts w:ascii="Times New Roman" w:hAnsi="Times New Roman" w:eastAsiaTheme="minorEastAsia"/>
          <w:b/>
          <w:bCs/>
          <w:color w:val="auto"/>
        </w:rPr>
      </w:pPr>
    </w:p>
    <w:p w14:paraId="7062DFE4">
      <w:pPr>
        <w:pStyle w:val="23"/>
        <w:rPr>
          <w:rFonts w:ascii="Times New Roman" w:hAnsi="Times New Roman" w:eastAsiaTheme="minorEastAsia"/>
          <w:b/>
          <w:bCs/>
          <w:color w:val="auto"/>
        </w:rPr>
      </w:pPr>
    </w:p>
    <w:p w14:paraId="475CB5B4">
      <w:pPr>
        <w:pStyle w:val="23"/>
        <w:rPr>
          <w:rFonts w:ascii="Times New Roman" w:hAnsi="Times New Roman" w:eastAsiaTheme="minorEastAsia"/>
          <w:b/>
          <w:bCs/>
          <w:color w:val="auto"/>
        </w:rPr>
      </w:pPr>
    </w:p>
    <w:p w14:paraId="28F10894">
      <w:pPr>
        <w:pStyle w:val="23"/>
        <w:rPr>
          <w:rFonts w:ascii="Times New Roman" w:hAnsi="Times New Roman" w:eastAsiaTheme="minorEastAsia"/>
          <w:b/>
          <w:bCs/>
          <w:color w:val="auto"/>
        </w:rPr>
      </w:pPr>
    </w:p>
    <w:p w14:paraId="3941E653">
      <w:pPr>
        <w:topLinePunct/>
        <w:spacing w:line="360" w:lineRule="auto"/>
        <w:ind w:firstLine="482" w:firstLineChars="200"/>
        <w:jc w:val="left"/>
        <w:rPr>
          <w:rFonts w:eastAsiaTheme="minorEastAsia"/>
          <w:b/>
          <w:bCs/>
          <w:kern w:val="0"/>
          <w:sz w:val="24"/>
        </w:rPr>
      </w:pPr>
    </w:p>
    <w:p w14:paraId="710002AA">
      <w:pPr>
        <w:topLinePunct/>
        <w:spacing w:line="360" w:lineRule="auto"/>
        <w:ind w:firstLine="482" w:firstLineChars="200"/>
        <w:jc w:val="left"/>
        <w:rPr>
          <w:rFonts w:eastAsiaTheme="minorEastAsia"/>
          <w:b/>
          <w:bCs/>
          <w:kern w:val="0"/>
          <w:sz w:val="24"/>
        </w:rPr>
      </w:pPr>
      <w:r>
        <w:rPr>
          <w:rFonts w:eastAsiaTheme="minorEastAsia"/>
          <w:b/>
          <w:bCs/>
          <w:kern w:val="0"/>
          <w:sz w:val="24"/>
        </w:rPr>
        <w:t>一、总  则</w:t>
      </w:r>
    </w:p>
    <w:p w14:paraId="4689FD4D">
      <w:pPr>
        <w:topLinePunct/>
        <w:spacing w:line="360" w:lineRule="auto"/>
        <w:ind w:firstLine="480" w:firstLineChars="200"/>
        <w:rPr>
          <w:rFonts w:eastAsiaTheme="minorEastAsia"/>
          <w:kern w:val="0"/>
          <w:sz w:val="24"/>
        </w:rPr>
      </w:pPr>
      <w:bookmarkStart w:id="9" w:name="_Toc183582205"/>
      <w:bookmarkStart w:id="10" w:name="_Toc183682342"/>
      <w:bookmarkStart w:id="11" w:name="_Toc317509231"/>
      <w:bookmarkStart w:id="12" w:name="_Toc217446034"/>
      <w:bookmarkStart w:id="13" w:name="_Toc325464815"/>
      <w:bookmarkStart w:id="14" w:name="_Toc317509384"/>
      <w:bookmarkStart w:id="15" w:name="_Toc325096466"/>
      <w:r>
        <w:rPr>
          <w:rFonts w:eastAsiaTheme="minorEastAsia"/>
          <w:kern w:val="0"/>
          <w:sz w:val="24"/>
        </w:rPr>
        <w:t>1.</w:t>
      </w:r>
      <w:bookmarkEnd w:id="9"/>
      <w:bookmarkEnd w:id="10"/>
      <w:r>
        <w:rPr>
          <w:rFonts w:eastAsiaTheme="minorEastAsia"/>
          <w:kern w:val="0"/>
          <w:sz w:val="24"/>
        </w:rPr>
        <w:t>适用范围</w:t>
      </w:r>
      <w:bookmarkEnd w:id="11"/>
      <w:bookmarkEnd w:id="12"/>
      <w:bookmarkEnd w:id="13"/>
      <w:bookmarkEnd w:id="14"/>
      <w:bookmarkEnd w:id="15"/>
    </w:p>
    <w:p w14:paraId="4266EE2E">
      <w:pPr>
        <w:topLinePunct/>
        <w:spacing w:line="360" w:lineRule="auto"/>
        <w:ind w:firstLine="480" w:firstLineChars="200"/>
        <w:rPr>
          <w:rFonts w:eastAsiaTheme="minorEastAsia"/>
          <w:kern w:val="0"/>
          <w:sz w:val="24"/>
        </w:rPr>
      </w:pPr>
      <w:r>
        <w:rPr>
          <w:rFonts w:eastAsiaTheme="minorEastAsia"/>
          <w:kern w:val="0"/>
          <w:sz w:val="24"/>
        </w:rPr>
        <w:t>1.1 本比选文件仅适用于本次比选所叙述的(服务)项目比选。</w:t>
      </w:r>
    </w:p>
    <w:p w14:paraId="4B56AD58">
      <w:pPr>
        <w:topLinePunct/>
        <w:spacing w:line="360" w:lineRule="auto"/>
        <w:ind w:firstLine="480" w:firstLineChars="200"/>
        <w:rPr>
          <w:rFonts w:eastAsiaTheme="minorEastAsia"/>
          <w:kern w:val="0"/>
          <w:sz w:val="24"/>
        </w:rPr>
      </w:pPr>
      <w:bookmarkStart w:id="16" w:name="_Toc183682343"/>
      <w:bookmarkStart w:id="17" w:name="_Toc183582206"/>
      <w:bookmarkStart w:id="18" w:name="_Toc217446035"/>
      <w:bookmarkStart w:id="19" w:name="_Toc325096467"/>
      <w:bookmarkStart w:id="20" w:name="_Toc317509385"/>
      <w:bookmarkStart w:id="21" w:name="_Toc317509232"/>
      <w:bookmarkStart w:id="22" w:name="_Toc325464816"/>
      <w:r>
        <w:rPr>
          <w:rFonts w:eastAsiaTheme="minorEastAsia"/>
          <w:kern w:val="0"/>
          <w:sz w:val="24"/>
        </w:rPr>
        <w:t>2.</w:t>
      </w:r>
      <w:bookmarkEnd w:id="16"/>
      <w:bookmarkEnd w:id="17"/>
      <w:r>
        <w:rPr>
          <w:rFonts w:eastAsiaTheme="minorEastAsia"/>
          <w:kern w:val="0"/>
          <w:sz w:val="24"/>
        </w:rPr>
        <w:t>有关定义</w:t>
      </w:r>
      <w:bookmarkEnd w:id="18"/>
      <w:bookmarkEnd w:id="19"/>
      <w:bookmarkEnd w:id="20"/>
      <w:bookmarkEnd w:id="21"/>
      <w:bookmarkEnd w:id="22"/>
    </w:p>
    <w:p w14:paraId="1EBADD83">
      <w:pPr>
        <w:topLinePunct/>
        <w:spacing w:line="360" w:lineRule="auto"/>
        <w:ind w:firstLine="480" w:firstLineChars="200"/>
        <w:rPr>
          <w:rFonts w:eastAsiaTheme="minorEastAsia"/>
          <w:kern w:val="0"/>
          <w:sz w:val="24"/>
        </w:rPr>
      </w:pPr>
      <w:r>
        <w:rPr>
          <w:rFonts w:eastAsiaTheme="minorEastAsia"/>
          <w:kern w:val="0"/>
          <w:sz w:val="24"/>
        </w:rPr>
        <w:t>2.1 本次比选的采购人是</w:t>
      </w:r>
      <w:r>
        <w:rPr>
          <w:rFonts w:eastAsiaTheme="minorEastAsia"/>
          <w:sz w:val="24"/>
        </w:rPr>
        <w:t>成都市温江区规划和自然资源局</w:t>
      </w:r>
      <w:r>
        <w:rPr>
          <w:rFonts w:eastAsiaTheme="minorEastAsia"/>
          <w:kern w:val="0"/>
          <w:sz w:val="24"/>
        </w:rPr>
        <w:t>。</w:t>
      </w:r>
    </w:p>
    <w:p w14:paraId="664F25BC">
      <w:pPr>
        <w:topLinePunct/>
        <w:spacing w:line="360" w:lineRule="auto"/>
        <w:ind w:firstLine="480" w:firstLineChars="200"/>
        <w:rPr>
          <w:rFonts w:eastAsiaTheme="minorEastAsia"/>
          <w:kern w:val="0"/>
          <w:sz w:val="24"/>
        </w:rPr>
      </w:pPr>
      <w:r>
        <w:rPr>
          <w:rFonts w:eastAsiaTheme="minorEastAsia"/>
          <w:kern w:val="0"/>
          <w:sz w:val="24"/>
        </w:rPr>
        <w:t>2.2“采购人”系指“比选单位”和“比选承办单位”的统称。</w:t>
      </w:r>
    </w:p>
    <w:p w14:paraId="44CF917B">
      <w:pPr>
        <w:topLinePunct/>
        <w:spacing w:line="360" w:lineRule="auto"/>
        <w:ind w:firstLine="480" w:firstLineChars="200"/>
        <w:rPr>
          <w:rFonts w:eastAsiaTheme="minorEastAsia"/>
          <w:kern w:val="0"/>
          <w:sz w:val="24"/>
        </w:rPr>
      </w:pPr>
      <w:r>
        <w:rPr>
          <w:rFonts w:eastAsiaTheme="minorEastAsia"/>
          <w:kern w:val="0"/>
          <w:sz w:val="24"/>
        </w:rPr>
        <w:t>2.3“比选申请人”系指递交了比选文件拟参加比选和向采购人提供相应服务的法人企业或其它组织。</w:t>
      </w:r>
    </w:p>
    <w:p w14:paraId="0E502017">
      <w:pPr>
        <w:topLinePunct/>
        <w:spacing w:line="360" w:lineRule="auto"/>
        <w:ind w:firstLine="480" w:firstLineChars="200"/>
        <w:rPr>
          <w:rFonts w:eastAsiaTheme="minorEastAsia"/>
          <w:kern w:val="0"/>
          <w:sz w:val="24"/>
        </w:rPr>
      </w:pPr>
      <w:bookmarkStart w:id="23" w:name="_Toc217446036"/>
      <w:bookmarkStart w:id="24" w:name="_Toc325464817"/>
      <w:bookmarkStart w:id="25" w:name="_Toc183582207"/>
      <w:bookmarkStart w:id="26" w:name="_Toc217390843"/>
      <w:bookmarkStart w:id="27" w:name="_Toc183682344"/>
      <w:bookmarkStart w:id="28" w:name="_Toc325096468"/>
      <w:bookmarkStart w:id="29" w:name="_Toc317509233"/>
      <w:bookmarkStart w:id="30" w:name="_Toc317509386"/>
      <w:r>
        <w:rPr>
          <w:rFonts w:eastAsiaTheme="minorEastAsia"/>
          <w:kern w:val="0"/>
          <w:sz w:val="24"/>
        </w:rPr>
        <w:t>3.</w:t>
      </w:r>
      <w:bookmarkEnd w:id="23"/>
      <w:bookmarkEnd w:id="24"/>
      <w:bookmarkEnd w:id="25"/>
      <w:bookmarkEnd w:id="26"/>
      <w:bookmarkEnd w:id="27"/>
      <w:bookmarkEnd w:id="28"/>
      <w:bookmarkEnd w:id="29"/>
      <w:bookmarkEnd w:id="30"/>
      <w:r>
        <w:rPr>
          <w:rFonts w:eastAsiaTheme="minorEastAsia"/>
          <w:kern w:val="0"/>
          <w:sz w:val="24"/>
        </w:rPr>
        <w:t>申请人资格条件</w:t>
      </w:r>
    </w:p>
    <w:p w14:paraId="1E5821EB">
      <w:pPr>
        <w:topLinePunct/>
        <w:spacing w:line="360" w:lineRule="auto"/>
        <w:ind w:firstLine="480" w:firstLineChars="200"/>
        <w:rPr>
          <w:rFonts w:eastAsiaTheme="minorEastAsia"/>
          <w:kern w:val="0"/>
          <w:sz w:val="24"/>
        </w:rPr>
      </w:pPr>
      <w:bookmarkStart w:id="31" w:name="_Toc217446037"/>
      <w:bookmarkStart w:id="32" w:name="_Toc325096469"/>
      <w:bookmarkStart w:id="33" w:name="_Toc317509234"/>
      <w:bookmarkStart w:id="34" w:name="_Toc325464818"/>
      <w:bookmarkStart w:id="35" w:name="_Toc183682345"/>
      <w:bookmarkStart w:id="36" w:name="_Toc183582208"/>
      <w:bookmarkStart w:id="37" w:name="_Toc317509387"/>
      <w:r>
        <w:rPr>
          <w:rFonts w:eastAsiaTheme="minorEastAsia"/>
          <w:kern w:val="0"/>
          <w:sz w:val="24"/>
        </w:rPr>
        <w:t>3.1比选申请人应遵守有关的国家法律、法规和条例，具备本文件中规定的条件：</w:t>
      </w:r>
    </w:p>
    <w:p w14:paraId="0CBEE2DD">
      <w:pPr>
        <w:topLinePunct/>
        <w:spacing w:line="360" w:lineRule="auto"/>
        <w:ind w:firstLine="480" w:firstLineChars="200"/>
        <w:rPr>
          <w:rFonts w:eastAsiaTheme="minorEastAsia"/>
          <w:color w:val="auto"/>
          <w:kern w:val="0"/>
          <w:sz w:val="24"/>
          <w:u w:val="none"/>
        </w:rPr>
      </w:pPr>
      <w:r>
        <w:rPr>
          <w:rFonts w:eastAsiaTheme="minorEastAsia"/>
          <w:color w:val="auto"/>
          <w:kern w:val="0"/>
          <w:sz w:val="24"/>
          <w:u w:val="none"/>
        </w:rPr>
        <w:t>（1）必须是已在中国境内依法登记注册的独立法人（提供营业执照副本复印件）；</w:t>
      </w:r>
    </w:p>
    <w:p w14:paraId="0A108402">
      <w:pPr>
        <w:topLinePunct/>
        <w:spacing w:line="360" w:lineRule="auto"/>
        <w:ind w:firstLine="480" w:firstLineChars="200"/>
        <w:rPr>
          <w:rFonts w:eastAsiaTheme="minorEastAsia"/>
          <w:color w:val="auto"/>
          <w:kern w:val="0"/>
          <w:sz w:val="24"/>
          <w:u w:val="none"/>
        </w:rPr>
      </w:pPr>
      <w:r>
        <w:rPr>
          <w:rFonts w:hint="eastAsia" w:eastAsiaTheme="minorEastAsia"/>
          <w:color w:val="auto"/>
          <w:kern w:val="0"/>
          <w:sz w:val="24"/>
          <w:u w:val="none"/>
        </w:rPr>
        <w:t>（2）具有行政主管部门颁发的测绘乙级或以上资质（专业范围：工程测量）（提供测绘资质证书复印件）；</w:t>
      </w:r>
    </w:p>
    <w:p w14:paraId="2D5ADAFE">
      <w:pPr>
        <w:topLinePunct/>
        <w:spacing w:line="360" w:lineRule="auto"/>
        <w:ind w:firstLine="480" w:firstLineChars="200"/>
        <w:rPr>
          <w:rFonts w:eastAsiaTheme="minorEastAsia"/>
          <w:color w:val="auto"/>
          <w:kern w:val="0"/>
          <w:sz w:val="24"/>
          <w:u w:val="none"/>
        </w:rPr>
      </w:pPr>
      <w:r>
        <w:rPr>
          <w:rFonts w:eastAsiaTheme="minorEastAsia"/>
          <w:color w:val="auto"/>
          <w:kern w:val="0"/>
          <w:sz w:val="24"/>
          <w:u w:val="none"/>
        </w:rPr>
        <w:t>（3）</w:t>
      </w:r>
      <w:r>
        <w:rPr>
          <w:color w:val="auto"/>
          <w:sz w:val="24"/>
          <w:u w:val="none"/>
        </w:rPr>
        <w:t>具有良好的商业信誉和健全的财务会计制度</w:t>
      </w:r>
      <w:r>
        <w:rPr>
          <w:rFonts w:eastAsiaTheme="minorEastAsia"/>
          <w:color w:val="auto"/>
          <w:kern w:val="0"/>
          <w:sz w:val="24"/>
          <w:u w:val="none"/>
        </w:rPr>
        <w:t>（提供</w:t>
      </w:r>
      <w:r>
        <w:rPr>
          <w:rFonts w:hint="eastAsia" w:eastAsiaTheme="minorEastAsia"/>
          <w:color w:val="auto"/>
          <w:kern w:val="0"/>
          <w:sz w:val="24"/>
          <w:u w:val="none"/>
        </w:rPr>
        <w:t>承诺函</w:t>
      </w:r>
      <w:r>
        <w:rPr>
          <w:rFonts w:eastAsiaTheme="minorEastAsia"/>
          <w:color w:val="auto"/>
          <w:kern w:val="0"/>
          <w:sz w:val="24"/>
          <w:u w:val="none"/>
        </w:rPr>
        <w:t>）</w:t>
      </w:r>
      <w:r>
        <w:rPr>
          <w:color w:val="auto"/>
          <w:sz w:val="24"/>
          <w:u w:val="none"/>
        </w:rPr>
        <w:t>；</w:t>
      </w:r>
    </w:p>
    <w:p w14:paraId="16B7592A">
      <w:pPr>
        <w:topLinePunct/>
        <w:spacing w:line="360" w:lineRule="auto"/>
        <w:ind w:firstLine="480" w:firstLineChars="200"/>
        <w:rPr>
          <w:rFonts w:eastAsiaTheme="minorEastAsia"/>
          <w:kern w:val="0"/>
          <w:sz w:val="24"/>
        </w:rPr>
      </w:pPr>
      <w:r>
        <w:rPr>
          <w:rFonts w:eastAsiaTheme="minorEastAsia"/>
          <w:kern w:val="0"/>
          <w:sz w:val="24"/>
        </w:rPr>
        <w:t>（4）参加项目比选的企业近三年内，在经营活动中无不良信用记录和重大违法记录（提供承诺函）；</w:t>
      </w:r>
    </w:p>
    <w:p w14:paraId="5604F64E">
      <w:pPr>
        <w:topLinePunct/>
        <w:spacing w:line="360" w:lineRule="auto"/>
        <w:ind w:firstLine="480" w:firstLineChars="200"/>
        <w:rPr>
          <w:rFonts w:eastAsiaTheme="minorEastAsia"/>
          <w:kern w:val="0"/>
          <w:sz w:val="24"/>
        </w:rPr>
      </w:pPr>
      <w:r>
        <w:rPr>
          <w:rFonts w:eastAsiaTheme="minorEastAsia"/>
          <w:kern w:val="0"/>
          <w:sz w:val="24"/>
        </w:rPr>
        <w:t>（5）参选单位及其现任法定代表人、主要负责人前3年内不得具有行贿犯罪记录（提供承诺函）；</w:t>
      </w:r>
    </w:p>
    <w:p w14:paraId="761D87D4">
      <w:pPr>
        <w:topLinePunct/>
        <w:spacing w:line="360" w:lineRule="auto"/>
        <w:ind w:firstLine="480" w:firstLineChars="200"/>
        <w:rPr>
          <w:rFonts w:eastAsiaTheme="minorEastAsia"/>
          <w:kern w:val="0"/>
          <w:sz w:val="24"/>
        </w:rPr>
      </w:pPr>
      <w:r>
        <w:rPr>
          <w:rFonts w:eastAsiaTheme="minorEastAsia"/>
          <w:kern w:val="0"/>
          <w:sz w:val="24"/>
        </w:rPr>
        <w:t>注：①</w:t>
      </w:r>
      <w:r>
        <w:rPr>
          <w:rFonts w:eastAsiaTheme="minorEastAsia"/>
          <w:b/>
          <w:bCs/>
          <w:kern w:val="0"/>
          <w:sz w:val="24"/>
        </w:rPr>
        <w:t>以上提供的资料须加盖申请人鲜章</w:t>
      </w:r>
      <w:r>
        <w:rPr>
          <w:rFonts w:eastAsiaTheme="minorEastAsia"/>
          <w:kern w:val="0"/>
          <w:sz w:val="24"/>
        </w:rPr>
        <w:t>。②营业执照上载明的营业期限剩余时间应当不少于本次比选的相关合同基本义务履行所需期限，或已经提供相关证明材料能够证明具有履约能力。否则，采购人有权拒绝其本次申请。</w:t>
      </w:r>
    </w:p>
    <w:p w14:paraId="4CA0C684">
      <w:pPr>
        <w:topLinePunct/>
        <w:spacing w:line="360" w:lineRule="auto"/>
        <w:ind w:firstLine="480" w:firstLineChars="200"/>
        <w:rPr>
          <w:rFonts w:eastAsiaTheme="minorEastAsia"/>
          <w:kern w:val="0"/>
          <w:sz w:val="24"/>
        </w:rPr>
      </w:pPr>
      <w:r>
        <w:rPr>
          <w:rFonts w:eastAsiaTheme="minorEastAsia"/>
          <w:kern w:val="0"/>
          <w:sz w:val="24"/>
        </w:rPr>
        <w:t>4.比选费用</w:t>
      </w:r>
      <w:bookmarkEnd w:id="31"/>
      <w:bookmarkEnd w:id="32"/>
      <w:bookmarkEnd w:id="33"/>
      <w:bookmarkEnd w:id="34"/>
      <w:bookmarkEnd w:id="35"/>
      <w:bookmarkEnd w:id="36"/>
      <w:bookmarkEnd w:id="37"/>
    </w:p>
    <w:p w14:paraId="3411F848">
      <w:pPr>
        <w:topLinePunct/>
        <w:spacing w:line="360" w:lineRule="auto"/>
        <w:ind w:firstLine="480" w:firstLineChars="200"/>
        <w:rPr>
          <w:rFonts w:eastAsiaTheme="minorEastAsia"/>
          <w:kern w:val="0"/>
          <w:sz w:val="24"/>
        </w:rPr>
      </w:pPr>
      <w:r>
        <w:rPr>
          <w:rFonts w:eastAsiaTheme="minorEastAsia"/>
          <w:kern w:val="0"/>
          <w:sz w:val="24"/>
        </w:rPr>
        <w:t>4.1比选申请人参加比选的有关一切费用由比选申请人自行承担。</w:t>
      </w:r>
    </w:p>
    <w:p w14:paraId="1AC9C131">
      <w:pPr>
        <w:topLinePunct/>
        <w:spacing w:line="360" w:lineRule="auto"/>
        <w:ind w:firstLine="482" w:firstLineChars="200"/>
        <w:jc w:val="left"/>
        <w:rPr>
          <w:rFonts w:eastAsiaTheme="minorEastAsia"/>
          <w:b/>
          <w:bCs/>
          <w:kern w:val="0"/>
          <w:sz w:val="24"/>
        </w:rPr>
      </w:pPr>
      <w:bookmarkStart w:id="38" w:name="_Toc325464819"/>
      <w:bookmarkStart w:id="39" w:name="_Toc183582209"/>
      <w:bookmarkStart w:id="40" w:name="_Toc217446038"/>
      <w:bookmarkStart w:id="41" w:name="_Toc183682346"/>
      <w:bookmarkStart w:id="42" w:name="_Toc89075875"/>
      <w:bookmarkStart w:id="43" w:name="_Toc77400779"/>
      <w:r>
        <w:rPr>
          <w:rFonts w:eastAsiaTheme="minorEastAsia"/>
          <w:b/>
          <w:bCs/>
          <w:kern w:val="0"/>
          <w:sz w:val="24"/>
        </w:rPr>
        <w:t>二、比选文件</w:t>
      </w:r>
      <w:bookmarkEnd w:id="38"/>
      <w:bookmarkEnd w:id="39"/>
      <w:bookmarkEnd w:id="40"/>
      <w:bookmarkEnd w:id="41"/>
      <w:bookmarkEnd w:id="42"/>
      <w:bookmarkEnd w:id="43"/>
    </w:p>
    <w:p w14:paraId="24F35EE1">
      <w:pPr>
        <w:topLinePunct/>
        <w:spacing w:line="360" w:lineRule="auto"/>
        <w:ind w:firstLine="480" w:firstLineChars="200"/>
        <w:rPr>
          <w:rFonts w:eastAsiaTheme="minorEastAsia"/>
          <w:kern w:val="0"/>
          <w:sz w:val="24"/>
        </w:rPr>
      </w:pPr>
      <w:bookmarkStart w:id="44" w:name="_Toc325464820"/>
      <w:bookmarkStart w:id="45" w:name="_Toc183582210"/>
      <w:bookmarkStart w:id="46" w:name="_Toc217446039"/>
      <w:bookmarkStart w:id="47" w:name="_Toc325096471"/>
      <w:bookmarkStart w:id="48" w:name="_Toc317509236"/>
      <w:bookmarkStart w:id="49" w:name="_Toc183682347"/>
      <w:bookmarkStart w:id="50" w:name="_Toc317509389"/>
      <w:r>
        <w:rPr>
          <w:rFonts w:eastAsiaTheme="minorEastAsia"/>
          <w:kern w:val="0"/>
          <w:sz w:val="24"/>
        </w:rPr>
        <w:t>5．比选文件的构成</w:t>
      </w:r>
      <w:bookmarkEnd w:id="44"/>
      <w:bookmarkEnd w:id="45"/>
      <w:bookmarkEnd w:id="46"/>
      <w:bookmarkEnd w:id="47"/>
      <w:bookmarkEnd w:id="48"/>
      <w:bookmarkEnd w:id="49"/>
      <w:bookmarkEnd w:id="50"/>
    </w:p>
    <w:p w14:paraId="6449648A">
      <w:pPr>
        <w:topLinePunct/>
        <w:spacing w:line="360" w:lineRule="auto"/>
        <w:ind w:firstLine="480" w:firstLineChars="200"/>
        <w:rPr>
          <w:rFonts w:eastAsiaTheme="minorEastAsia"/>
          <w:kern w:val="0"/>
          <w:sz w:val="24"/>
        </w:rPr>
      </w:pPr>
      <w:r>
        <w:rPr>
          <w:rFonts w:eastAsiaTheme="minorEastAsia"/>
          <w:kern w:val="0"/>
          <w:sz w:val="24"/>
        </w:rPr>
        <w:t>5.1比选文件用以阐明比选项目所需的资质、技术、服务(货物)等要求、比选程序、有关规定和注意事项以及合同主要条款等。本比选文件包括以下内容：</w:t>
      </w:r>
    </w:p>
    <w:p w14:paraId="16404860">
      <w:pPr>
        <w:topLinePunct/>
        <w:spacing w:line="360" w:lineRule="auto"/>
        <w:ind w:firstLine="480" w:firstLineChars="200"/>
        <w:rPr>
          <w:rFonts w:eastAsiaTheme="minorEastAsia"/>
          <w:kern w:val="0"/>
          <w:sz w:val="24"/>
        </w:rPr>
      </w:pPr>
      <w:r>
        <w:rPr>
          <w:rFonts w:eastAsiaTheme="minorEastAsia"/>
          <w:kern w:val="0"/>
          <w:sz w:val="24"/>
        </w:rPr>
        <w:t>（1）比选公告；</w:t>
      </w:r>
    </w:p>
    <w:p w14:paraId="6C0AE234">
      <w:pPr>
        <w:topLinePunct/>
        <w:spacing w:line="360" w:lineRule="auto"/>
        <w:ind w:firstLine="480" w:firstLineChars="200"/>
        <w:rPr>
          <w:rFonts w:eastAsiaTheme="minorEastAsia"/>
          <w:kern w:val="0"/>
          <w:sz w:val="24"/>
        </w:rPr>
      </w:pPr>
      <w:r>
        <w:rPr>
          <w:rFonts w:eastAsiaTheme="minorEastAsia"/>
          <w:kern w:val="0"/>
          <w:sz w:val="24"/>
        </w:rPr>
        <w:t>（2）比选须知；</w:t>
      </w:r>
    </w:p>
    <w:p w14:paraId="3054E3A2">
      <w:pPr>
        <w:topLinePunct/>
        <w:spacing w:line="360" w:lineRule="auto"/>
        <w:ind w:firstLine="480" w:firstLineChars="200"/>
        <w:rPr>
          <w:rFonts w:eastAsiaTheme="minorEastAsia"/>
          <w:kern w:val="0"/>
          <w:sz w:val="24"/>
        </w:rPr>
      </w:pPr>
      <w:r>
        <w:rPr>
          <w:rFonts w:eastAsiaTheme="minorEastAsia"/>
          <w:kern w:val="0"/>
          <w:sz w:val="24"/>
        </w:rPr>
        <w:t>（3）评选办法；</w:t>
      </w:r>
    </w:p>
    <w:p w14:paraId="3F57FC8B">
      <w:pPr>
        <w:topLinePunct/>
        <w:spacing w:line="360" w:lineRule="auto"/>
        <w:ind w:firstLine="480" w:firstLineChars="200"/>
        <w:rPr>
          <w:rFonts w:eastAsiaTheme="minorEastAsia"/>
          <w:kern w:val="0"/>
          <w:sz w:val="24"/>
        </w:rPr>
      </w:pPr>
      <w:r>
        <w:rPr>
          <w:rFonts w:eastAsiaTheme="minorEastAsia"/>
          <w:kern w:val="0"/>
          <w:sz w:val="24"/>
        </w:rPr>
        <w:t>（4）合同条款及格式；</w:t>
      </w:r>
    </w:p>
    <w:p w14:paraId="3B00BD47">
      <w:pPr>
        <w:topLinePunct/>
        <w:spacing w:line="360" w:lineRule="auto"/>
        <w:ind w:firstLine="480" w:firstLineChars="200"/>
        <w:rPr>
          <w:rFonts w:eastAsiaTheme="minorEastAsia"/>
          <w:kern w:val="0"/>
          <w:sz w:val="24"/>
        </w:rPr>
      </w:pPr>
      <w:r>
        <w:rPr>
          <w:rFonts w:eastAsiaTheme="minorEastAsia"/>
          <w:kern w:val="0"/>
          <w:sz w:val="24"/>
        </w:rPr>
        <w:t>（5）比选申请文件格式。</w:t>
      </w:r>
    </w:p>
    <w:p w14:paraId="06BB70FF">
      <w:pPr>
        <w:topLinePunct/>
        <w:spacing w:line="360" w:lineRule="auto"/>
        <w:ind w:firstLine="480" w:firstLineChars="200"/>
        <w:rPr>
          <w:rFonts w:eastAsiaTheme="minorEastAsia"/>
          <w:kern w:val="0"/>
          <w:sz w:val="24"/>
        </w:rPr>
      </w:pPr>
      <w:r>
        <w:rPr>
          <w:rFonts w:eastAsiaTheme="minorEastAsia"/>
          <w:kern w:val="0"/>
          <w:sz w:val="24"/>
        </w:rPr>
        <w:t>5.2 比选申请人应认真阅读和充分理解比选文件中所有的事项、格式条款和规范要求。比选申请人没有按照比选文件要求作出实质性响应的比选申请文件将被拒绝。</w:t>
      </w:r>
    </w:p>
    <w:p w14:paraId="43A65BF1">
      <w:pPr>
        <w:topLinePunct/>
        <w:spacing w:line="360" w:lineRule="auto"/>
        <w:ind w:firstLine="480" w:firstLineChars="200"/>
        <w:rPr>
          <w:rFonts w:eastAsiaTheme="minorEastAsia"/>
          <w:kern w:val="0"/>
          <w:sz w:val="24"/>
        </w:rPr>
      </w:pPr>
      <w:bookmarkStart w:id="51" w:name="_Toc183582211"/>
      <w:bookmarkStart w:id="52" w:name="_Toc183682348"/>
      <w:bookmarkStart w:id="53" w:name="_Toc217446040"/>
      <w:bookmarkStart w:id="54" w:name="_Toc325464821"/>
      <w:bookmarkStart w:id="55" w:name="_Toc325096472"/>
      <w:bookmarkStart w:id="56" w:name="_Toc317509237"/>
      <w:bookmarkStart w:id="57" w:name="_Toc317509390"/>
      <w:r>
        <w:rPr>
          <w:rFonts w:eastAsiaTheme="minorEastAsia"/>
          <w:kern w:val="0"/>
          <w:sz w:val="24"/>
        </w:rPr>
        <w:t>6.比选文件的澄清</w:t>
      </w:r>
      <w:bookmarkEnd w:id="51"/>
      <w:bookmarkEnd w:id="52"/>
      <w:r>
        <w:rPr>
          <w:rFonts w:eastAsiaTheme="minorEastAsia"/>
          <w:kern w:val="0"/>
          <w:sz w:val="24"/>
        </w:rPr>
        <w:t>和修改</w:t>
      </w:r>
      <w:bookmarkEnd w:id="53"/>
      <w:bookmarkEnd w:id="54"/>
      <w:bookmarkEnd w:id="55"/>
      <w:bookmarkEnd w:id="56"/>
      <w:bookmarkEnd w:id="57"/>
    </w:p>
    <w:p w14:paraId="696AD86E">
      <w:pPr>
        <w:topLinePunct/>
        <w:spacing w:line="360" w:lineRule="auto"/>
        <w:ind w:firstLine="480" w:firstLineChars="200"/>
        <w:rPr>
          <w:rFonts w:eastAsiaTheme="minorEastAsia"/>
          <w:kern w:val="0"/>
          <w:sz w:val="24"/>
        </w:rPr>
      </w:pPr>
      <w:r>
        <w:rPr>
          <w:rFonts w:eastAsiaTheme="minorEastAsia"/>
          <w:kern w:val="0"/>
          <w:sz w:val="24"/>
        </w:rPr>
        <w:t>6.1在比选截止时间前，比选单位无论出于何种原因，可以对比选文件进行澄清或者修改。</w:t>
      </w:r>
    </w:p>
    <w:p w14:paraId="5FD76C4A">
      <w:pPr>
        <w:topLinePunct/>
        <w:spacing w:line="360" w:lineRule="auto"/>
        <w:ind w:firstLine="480" w:firstLineChars="200"/>
        <w:rPr>
          <w:rFonts w:eastAsiaTheme="minorEastAsia"/>
          <w:kern w:val="0"/>
          <w:sz w:val="24"/>
        </w:rPr>
      </w:pPr>
      <w:bookmarkStart w:id="58" w:name="_Toc183682350"/>
      <w:bookmarkStart w:id="59" w:name="_Toc183582213"/>
      <w:bookmarkStart w:id="60" w:name="_Toc208848971"/>
      <w:bookmarkStart w:id="61" w:name="_Toc217446041"/>
      <w:bookmarkStart w:id="62" w:name="_Toc325464822"/>
      <w:bookmarkStart w:id="63" w:name="_Toc317509238"/>
      <w:bookmarkStart w:id="64" w:name="_Toc325096473"/>
      <w:bookmarkStart w:id="65" w:name="_Toc317509391"/>
      <w:bookmarkStart w:id="66" w:name="_Toc89075876"/>
      <w:bookmarkStart w:id="67" w:name="_Toc183582214"/>
      <w:bookmarkStart w:id="68" w:name="_Toc77400780"/>
      <w:bookmarkStart w:id="69" w:name="_Toc217446042"/>
      <w:bookmarkStart w:id="70" w:name="_Toc183682351"/>
      <w:r>
        <w:rPr>
          <w:rFonts w:eastAsiaTheme="minorEastAsia"/>
          <w:kern w:val="0"/>
          <w:sz w:val="24"/>
        </w:rPr>
        <w:t>7</w:t>
      </w:r>
      <w:bookmarkEnd w:id="58"/>
      <w:bookmarkEnd w:id="59"/>
      <w:r>
        <w:rPr>
          <w:rFonts w:eastAsiaTheme="minorEastAsia"/>
          <w:kern w:val="0"/>
          <w:sz w:val="24"/>
        </w:rPr>
        <w:t>.答疑会</w:t>
      </w:r>
      <w:bookmarkEnd w:id="60"/>
      <w:bookmarkEnd w:id="61"/>
      <w:bookmarkEnd w:id="62"/>
      <w:bookmarkEnd w:id="63"/>
      <w:bookmarkEnd w:id="64"/>
      <w:bookmarkEnd w:id="65"/>
    </w:p>
    <w:p w14:paraId="20505590">
      <w:pPr>
        <w:topLinePunct/>
        <w:spacing w:line="360" w:lineRule="auto"/>
        <w:ind w:firstLine="480" w:firstLineChars="200"/>
        <w:rPr>
          <w:rFonts w:eastAsiaTheme="minorEastAsia"/>
          <w:kern w:val="0"/>
          <w:sz w:val="24"/>
        </w:rPr>
      </w:pPr>
      <w:r>
        <w:rPr>
          <w:rFonts w:eastAsiaTheme="minorEastAsia"/>
          <w:kern w:val="0"/>
          <w:sz w:val="24"/>
        </w:rPr>
        <w:t>7.1不召开。</w:t>
      </w:r>
    </w:p>
    <w:p w14:paraId="579B4D5B">
      <w:pPr>
        <w:topLinePunct/>
        <w:spacing w:line="360" w:lineRule="auto"/>
        <w:ind w:firstLine="482" w:firstLineChars="200"/>
        <w:jc w:val="left"/>
        <w:rPr>
          <w:rFonts w:eastAsiaTheme="minorEastAsia"/>
          <w:b/>
          <w:bCs/>
          <w:kern w:val="0"/>
          <w:sz w:val="24"/>
        </w:rPr>
      </w:pPr>
      <w:bookmarkStart w:id="71" w:name="_Toc325464823"/>
      <w:r>
        <w:rPr>
          <w:rFonts w:eastAsiaTheme="minorEastAsia"/>
          <w:b/>
          <w:bCs/>
          <w:kern w:val="0"/>
          <w:sz w:val="24"/>
        </w:rPr>
        <w:t>三、比选申请文件</w:t>
      </w:r>
      <w:bookmarkEnd w:id="66"/>
      <w:bookmarkEnd w:id="67"/>
      <w:bookmarkEnd w:id="68"/>
      <w:bookmarkEnd w:id="69"/>
      <w:bookmarkEnd w:id="70"/>
      <w:bookmarkEnd w:id="71"/>
    </w:p>
    <w:p w14:paraId="7CA18D3C">
      <w:pPr>
        <w:topLinePunct/>
        <w:spacing w:line="360" w:lineRule="auto"/>
        <w:ind w:firstLine="480" w:firstLineChars="200"/>
        <w:rPr>
          <w:rFonts w:eastAsiaTheme="minorEastAsia"/>
          <w:kern w:val="0"/>
          <w:sz w:val="24"/>
        </w:rPr>
      </w:pPr>
      <w:bookmarkStart w:id="72" w:name="_Toc217446043"/>
      <w:bookmarkStart w:id="73" w:name="_Toc325096475"/>
      <w:bookmarkStart w:id="74" w:name="_Toc183582215"/>
      <w:bookmarkStart w:id="75" w:name="_Toc317509393"/>
      <w:bookmarkStart w:id="76" w:name="_Toc317509240"/>
      <w:bookmarkStart w:id="77" w:name="_Toc183682352"/>
      <w:bookmarkStart w:id="78" w:name="_Toc325464824"/>
      <w:r>
        <w:rPr>
          <w:rFonts w:eastAsiaTheme="minorEastAsia"/>
          <w:kern w:val="0"/>
          <w:sz w:val="24"/>
        </w:rPr>
        <w:t>8．比选申请文件的语言</w:t>
      </w:r>
      <w:bookmarkEnd w:id="72"/>
      <w:bookmarkEnd w:id="73"/>
      <w:bookmarkEnd w:id="74"/>
      <w:bookmarkEnd w:id="75"/>
      <w:bookmarkEnd w:id="76"/>
      <w:bookmarkEnd w:id="77"/>
      <w:bookmarkEnd w:id="78"/>
    </w:p>
    <w:p w14:paraId="54A746CF">
      <w:pPr>
        <w:topLinePunct/>
        <w:spacing w:line="360" w:lineRule="auto"/>
        <w:ind w:firstLine="480" w:firstLineChars="200"/>
        <w:rPr>
          <w:rFonts w:eastAsiaTheme="minorEastAsia"/>
          <w:kern w:val="0"/>
          <w:sz w:val="24"/>
        </w:rPr>
      </w:pPr>
      <w:r>
        <w:rPr>
          <w:rFonts w:eastAsiaTheme="minorEastAsia"/>
          <w:kern w:val="0"/>
          <w:sz w:val="24"/>
        </w:rPr>
        <w:t>8.1比选申请人提交的比选申请文件以及比选申请人与比选单位就有关比选的所有来往书面文件均须使用中文（简体）。比选申请文件中如附有外文资料，必须逐一对应翻译成中文并加盖比选申请人公章后附在相关外文资料后面。</w:t>
      </w:r>
    </w:p>
    <w:p w14:paraId="2D6E680B">
      <w:pPr>
        <w:topLinePunct/>
        <w:spacing w:line="360" w:lineRule="auto"/>
        <w:ind w:firstLine="480" w:firstLineChars="200"/>
        <w:rPr>
          <w:rFonts w:eastAsiaTheme="minorEastAsia"/>
          <w:kern w:val="0"/>
          <w:sz w:val="24"/>
        </w:rPr>
      </w:pPr>
      <w:bookmarkStart w:id="79" w:name="_Toc183682353"/>
      <w:bookmarkStart w:id="80" w:name="_Toc317509394"/>
      <w:bookmarkStart w:id="81" w:name="_Toc217446044"/>
      <w:bookmarkStart w:id="82" w:name="_Toc325096476"/>
      <w:bookmarkStart w:id="83" w:name="_Toc183582216"/>
      <w:bookmarkStart w:id="84" w:name="_Toc325464825"/>
      <w:bookmarkStart w:id="85" w:name="_Toc317509241"/>
      <w:r>
        <w:rPr>
          <w:rFonts w:eastAsiaTheme="minorEastAsia"/>
          <w:kern w:val="0"/>
          <w:sz w:val="24"/>
        </w:rPr>
        <w:t>9．计量单位</w:t>
      </w:r>
      <w:bookmarkEnd w:id="79"/>
      <w:bookmarkEnd w:id="80"/>
      <w:bookmarkEnd w:id="81"/>
      <w:bookmarkEnd w:id="82"/>
      <w:bookmarkEnd w:id="83"/>
      <w:bookmarkEnd w:id="84"/>
      <w:bookmarkEnd w:id="85"/>
    </w:p>
    <w:p w14:paraId="1C993A5D">
      <w:pPr>
        <w:topLinePunct/>
        <w:spacing w:line="360" w:lineRule="auto"/>
        <w:ind w:firstLine="480" w:firstLineChars="200"/>
        <w:rPr>
          <w:rFonts w:eastAsiaTheme="minorEastAsia"/>
          <w:kern w:val="0"/>
          <w:sz w:val="24"/>
        </w:rPr>
      </w:pPr>
      <w:r>
        <w:rPr>
          <w:rFonts w:eastAsiaTheme="minorEastAsia"/>
          <w:kern w:val="0"/>
          <w:sz w:val="24"/>
        </w:rPr>
        <w:t>9.1除技术规格及要求中另有规定外，本比选项目的比选均采用国家法定的计量单位。</w:t>
      </w:r>
    </w:p>
    <w:p w14:paraId="4810E2BA">
      <w:pPr>
        <w:topLinePunct/>
        <w:spacing w:line="360" w:lineRule="auto"/>
        <w:ind w:firstLine="480" w:firstLineChars="200"/>
        <w:rPr>
          <w:rFonts w:eastAsiaTheme="minorEastAsia"/>
          <w:kern w:val="0"/>
          <w:sz w:val="24"/>
        </w:rPr>
      </w:pPr>
      <w:r>
        <w:rPr>
          <w:rFonts w:eastAsiaTheme="minorEastAsia"/>
          <w:kern w:val="0"/>
          <w:sz w:val="24"/>
        </w:rPr>
        <w:t>10.比选货币</w:t>
      </w:r>
    </w:p>
    <w:p w14:paraId="2DD45FEC">
      <w:pPr>
        <w:topLinePunct/>
        <w:spacing w:line="360" w:lineRule="auto"/>
        <w:ind w:firstLine="480" w:firstLineChars="200"/>
        <w:rPr>
          <w:rFonts w:eastAsiaTheme="minorEastAsia"/>
          <w:kern w:val="0"/>
          <w:sz w:val="24"/>
        </w:rPr>
      </w:pPr>
      <w:r>
        <w:rPr>
          <w:rFonts w:eastAsiaTheme="minorEastAsia"/>
          <w:kern w:val="0"/>
          <w:sz w:val="24"/>
        </w:rPr>
        <w:t>10.1本次比选项目的比选均以人民币报价。</w:t>
      </w:r>
    </w:p>
    <w:p w14:paraId="237F8C34">
      <w:pPr>
        <w:topLinePunct/>
        <w:spacing w:line="360" w:lineRule="auto"/>
        <w:ind w:firstLine="480" w:firstLineChars="200"/>
        <w:rPr>
          <w:rFonts w:eastAsiaTheme="minorEastAsia"/>
          <w:kern w:val="0"/>
          <w:sz w:val="24"/>
        </w:rPr>
      </w:pPr>
      <w:bookmarkStart w:id="86" w:name="_Toc325096478"/>
      <w:bookmarkStart w:id="87" w:name="_Toc317509243"/>
      <w:bookmarkStart w:id="88" w:name="_Toc217446046"/>
      <w:bookmarkStart w:id="89" w:name="_Toc317509396"/>
      <w:bookmarkStart w:id="90" w:name="_Toc325464827"/>
      <w:r>
        <w:rPr>
          <w:rFonts w:eastAsiaTheme="minorEastAsia"/>
          <w:kern w:val="0"/>
          <w:sz w:val="24"/>
        </w:rPr>
        <w:t>11．联合比选</w:t>
      </w:r>
      <w:bookmarkEnd w:id="86"/>
      <w:bookmarkEnd w:id="87"/>
      <w:bookmarkEnd w:id="88"/>
      <w:bookmarkEnd w:id="89"/>
      <w:bookmarkEnd w:id="90"/>
    </w:p>
    <w:p w14:paraId="1DDD69A6">
      <w:pPr>
        <w:topLinePunct/>
        <w:spacing w:line="360" w:lineRule="auto"/>
        <w:ind w:firstLine="480" w:firstLineChars="200"/>
        <w:rPr>
          <w:rFonts w:eastAsiaTheme="minorEastAsia"/>
          <w:kern w:val="0"/>
          <w:sz w:val="24"/>
        </w:rPr>
      </w:pPr>
      <w:r>
        <w:rPr>
          <w:rFonts w:eastAsiaTheme="minorEastAsia"/>
          <w:kern w:val="0"/>
          <w:sz w:val="24"/>
        </w:rPr>
        <w:t>11.1不允许联合体参与比选</w:t>
      </w:r>
      <w:bookmarkStart w:id="91" w:name="_Toc217446047"/>
    </w:p>
    <w:p w14:paraId="39BA3A85">
      <w:pPr>
        <w:topLinePunct/>
        <w:spacing w:line="360" w:lineRule="auto"/>
        <w:ind w:firstLine="480" w:firstLineChars="200"/>
        <w:rPr>
          <w:rFonts w:eastAsiaTheme="minorEastAsia"/>
          <w:kern w:val="0"/>
          <w:sz w:val="24"/>
        </w:rPr>
      </w:pPr>
      <w:bookmarkStart w:id="92" w:name="_Toc317509244"/>
      <w:bookmarkStart w:id="93" w:name="_Toc325464828"/>
      <w:bookmarkStart w:id="94" w:name="_Toc317509397"/>
      <w:bookmarkStart w:id="95" w:name="_Toc325096479"/>
      <w:r>
        <w:rPr>
          <w:rFonts w:eastAsiaTheme="minorEastAsia"/>
          <w:kern w:val="0"/>
          <w:sz w:val="24"/>
        </w:rPr>
        <w:t>12．知识产权</w:t>
      </w:r>
      <w:bookmarkEnd w:id="91"/>
      <w:bookmarkEnd w:id="92"/>
      <w:bookmarkEnd w:id="93"/>
      <w:bookmarkEnd w:id="94"/>
      <w:bookmarkEnd w:id="95"/>
    </w:p>
    <w:p w14:paraId="3CF5A1F2">
      <w:pPr>
        <w:topLinePunct/>
        <w:spacing w:line="360" w:lineRule="auto"/>
        <w:ind w:firstLine="480" w:firstLineChars="200"/>
        <w:rPr>
          <w:rFonts w:eastAsiaTheme="minorEastAsia"/>
          <w:kern w:val="0"/>
          <w:sz w:val="24"/>
        </w:rPr>
      </w:pPr>
      <w:r>
        <w:rPr>
          <w:rFonts w:eastAsiaTheme="minorEastAsia"/>
          <w:kern w:val="0"/>
          <w:sz w:val="24"/>
        </w:rPr>
        <w:t>12.1无。</w:t>
      </w:r>
    </w:p>
    <w:p w14:paraId="12130F8B">
      <w:pPr>
        <w:topLinePunct/>
        <w:spacing w:line="360" w:lineRule="auto"/>
        <w:ind w:firstLine="480" w:firstLineChars="200"/>
        <w:rPr>
          <w:rFonts w:eastAsiaTheme="minorEastAsia"/>
          <w:kern w:val="0"/>
          <w:sz w:val="24"/>
        </w:rPr>
      </w:pPr>
      <w:bookmarkStart w:id="96" w:name="_Toc183582217"/>
      <w:bookmarkStart w:id="97" w:name="_Toc317509245"/>
      <w:bookmarkStart w:id="98" w:name="_Toc325464829"/>
      <w:bookmarkStart w:id="99" w:name="_Toc183682354"/>
      <w:bookmarkStart w:id="100" w:name="_Toc325096480"/>
      <w:bookmarkStart w:id="101" w:name="_Toc317509398"/>
      <w:bookmarkStart w:id="102" w:name="_Toc217446048"/>
      <w:r>
        <w:rPr>
          <w:rFonts w:eastAsiaTheme="minorEastAsia"/>
          <w:kern w:val="0"/>
          <w:sz w:val="24"/>
        </w:rPr>
        <w:t>13．比选申请文件的组成</w:t>
      </w:r>
      <w:bookmarkEnd w:id="96"/>
      <w:bookmarkEnd w:id="97"/>
      <w:bookmarkEnd w:id="98"/>
      <w:bookmarkEnd w:id="99"/>
      <w:bookmarkEnd w:id="100"/>
      <w:bookmarkEnd w:id="101"/>
      <w:bookmarkEnd w:id="102"/>
    </w:p>
    <w:p w14:paraId="3CD6140C">
      <w:pPr>
        <w:topLinePunct/>
        <w:spacing w:line="360" w:lineRule="auto"/>
        <w:ind w:firstLine="480" w:firstLineChars="200"/>
        <w:rPr>
          <w:rFonts w:eastAsiaTheme="minorEastAsia"/>
          <w:kern w:val="0"/>
          <w:sz w:val="24"/>
        </w:rPr>
      </w:pPr>
      <w:r>
        <w:rPr>
          <w:rFonts w:eastAsiaTheme="minorEastAsia"/>
          <w:kern w:val="0"/>
          <w:sz w:val="24"/>
        </w:rPr>
        <w:t>比选申请人应按照比选文件的规定和要求编制比选申请文件。比选申请人编写的比选申请文件应包括（不限于）下列部分：</w:t>
      </w:r>
    </w:p>
    <w:p w14:paraId="1AAD8AEF">
      <w:pPr>
        <w:topLinePunct/>
        <w:spacing w:line="360" w:lineRule="auto"/>
        <w:ind w:firstLine="482" w:firstLineChars="200"/>
        <w:rPr>
          <w:rFonts w:eastAsiaTheme="minorEastAsia"/>
          <w:b/>
          <w:bCs/>
          <w:kern w:val="0"/>
          <w:sz w:val="24"/>
        </w:rPr>
      </w:pPr>
      <w:r>
        <w:rPr>
          <w:rFonts w:eastAsiaTheme="minorEastAsia"/>
          <w:b/>
          <w:bCs/>
          <w:kern w:val="0"/>
          <w:sz w:val="24"/>
        </w:rPr>
        <w:t>已在中国境内依法登记注册的独立法人、法定代表人身份证明书、法定代表人授权委托书；项目报价单；承诺及声明函；其他资料。</w:t>
      </w:r>
    </w:p>
    <w:p w14:paraId="2A1173AD">
      <w:pPr>
        <w:topLinePunct/>
        <w:spacing w:line="360" w:lineRule="auto"/>
        <w:ind w:firstLine="480" w:firstLineChars="200"/>
        <w:rPr>
          <w:rFonts w:eastAsiaTheme="minorEastAsia"/>
          <w:kern w:val="0"/>
          <w:sz w:val="24"/>
        </w:rPr>
      </w:pPr>
      <w:bookmarkStart w:id="103" w:name="_Toc325096481"/>
      <w:bookmarkStart w:id="104" w:name="_Toc325464830"/>
      <w:bookmarkStart w:id="105" w:name="_Toc183682355"/>
      <w:bookmarkStart w:id="106" w:name="_Toc317509246"/>
      <w:bookmarkStart w:id="107" w:name="_Toc317509399"/>
      <w:bookmarkStart w:id="108" w:name="_Toc183582218"/>
      <w:bookmarkStart w:id="109" w:name="_Toc217446049"/>
      <w:r>
        <w:rPr>
          <w:rFonts w:eastAsiaTheme="minorEastAsia"/>
          <w:kern w:val="0"/>
          <w:sz w:val="24"/>
        </w:rPr>
        <w:t>14．比选申请文件格式</w:t>
      </w:r>
      <w:bookmarkEnd w:id="103"/>
      <w:bookmarkEnd w:id="104"/>
      <w:bookmarkEnd w:id="105"/>
      <w:bookmarkEnd w:id="106"/>
      <w:bookmarkEnd w:id="107"/>
      <w:bookmarkEnd w:id="108"/>
      <w:bookmarkEnd w:id="109"/>
    </w:p>
    <w:p w14:paraId="3C5D4D9F">
      <w:pPr>
        <w:topLinePunct/>
        <w:spacing w:line="360" w:lineRule="auto"/>
        <w:ind w:firstLine="480" w:firstLineChars="200"/>
        <w:rPr>
          <w:rFonts w:eastAsiaTheme="minorEastAsia"/>
          <w:kern w:val="0"/>
          <w:sz w:val="24"/>
        </w:rPr>
      </w:pPr>
      <w:bookmarkStart w:id="110" w:name="_Toc183582223"/>
      <w:bookmarkStart w:id="111" w:name="_Toc217446050"/>
      <w:bookmarkStart w:id="112" w:name="_Toc183682360"/>
      <w:r>
        <w:rPr>
          <w:rFonts w:eastAsiaTheme="minorEastAsia"/>
          <w:kern w:val="0"/>
          <w:sz w:val="24"/>
        </w:rPr>
        <w:t>14.1比选申请人应严格按照比选文件第五章中提供的“比选申请文件格式”填写相关内容。除明确允许比选申请人可以自行编写的外，比选申请人不得以“比选申请文件格式”规定之外的方式填写相关内容。</w:t>
      </w:r>
    </w:p>
    <w:bookmarkEnd w:id="110"/>
    <w:bookmarkEnd w:id="111"/>
    <w:bookmarkEnd w:id="112"/>
    <w:p w14:paraId="6148B123">
      <w:pPr>
        <w:topLinePunct/>
        <w:spacing w:line="360" w:lineRule="auto"/>
        <w:ind w:firstLine="480" w:firstLineChars="200"/>
        <w:rPr>
          <w:rFonts w:eastAsiaTheme="minorEastAsia"/>
          <w:kern w:val="0"/>
          <w:sz w:val="24"/>
        </w:rPr>
      </w:pPr>
      <w:bookmarkStart w:id="113" w:name="_Toc183682361"/>
      <w:bookmarkStart w:id="114" w:name="_Toc183582224"/>
      <w:bookmarkStart w:id="115" w:name="_Toc325464834"/>
      <w:bookmarkStart w:id="116" w:name="_Toc325096485"/>
      <w:bookmarkStart w:id="117" w:name="_Toc217446051"/>
      <w:bookmarkStart w:id="118" w:name="_Toc317509250"/>
      <w:bookmarkStart w:id="119" w:name="_Toc317509403"/>
      <w:r>
        <w:rPr>
          <w:rFonts w:eastAsiaTheme="minorEastAsia"/>
          <w:kern w:val="0"/>
          <w:sz w:val="24"/>
        </w:rPr>
        <w:t>15．比选有效期</w:t>
      </w:r>
      <w:bookmarkEnd w:id="113"/>
      <w:bookmarkEnd w:id="114"/>
      <w:bookmarkEnd w:id="115"/>
      <w:bookmarkEnd w:id="116"/>
      <w:bookmarkEnd w:id="117"/>
      <w:bookmarkEnd w:id="118"/>
      <w:bookmarkEnd w:id="119"/>
    </w:p>
    <w:p w14:paraId="2A96C361">
      <w:pPr>
        <w:topLinePunct/>
        <w:spacing w:line="360" w:lineRule="auto"/>
        <w:ind w:firstLine="480" w:firstLineChars="200"/>
        <w:rPr>
          <w:rFonts w:eastAsiaTheme="minorEastAsia"/>
          <w:kern w:val="0"/>
          <w:sz w:val="24"/>
        </w:rPr>
      </w:pPr>
      <w:r>
        <w:rPr>
          <w:rFonts w:eastAsiaTheme="minorEastAsia"/>
          <w:kern w:val="0"/>
          <w:sz w:val="24"/>
        </w:rPr>
        <w:t>15.1 比选有效期见比选须知附表。比选有效期短于此规定期限的比选，将被拒绝。</w:t>
      </w:r>
    </w:p>
    <w:p w14:paraId="334C51AC">
      <w:pPr>
        <w:topLinePunct/>
        <w:spacing w:line="360" w:lineRule="auto"/>
        <w:ind w:firstLine="480" w:firstLineChars="200"/>
        <w:rPr>
          <w:rFonts w:eastAsiaTheme="minorEastAsia"/>
          <w:kern w:val="0"/>
          <w:sz w:val="24"/>
        </w:rPr>
      </w:pPr>
      <w:r>
        <w:rPr>
          <w:rFonts w:eastAsiaTheme="minorEastAsia"/>
          <w:kern w:val="0"/>
          <w:sz w:val="24"/>
        </w:rPr>
        <w:t>15.2 特殊情况下，采购人可于比选有效期满之前要求比选申请人同意延长有效期，要求与答复均应为书面形式。</w:t>
      </w:r>
    </w:p>
    <w:p w14:paraId="5E7B03B6">
      <w:pPr>
        <w:topLinePunct/>
        <w:spacing w:line="360" w:lineRule="auto"/>
        <w:ind w:firstLine="480" w:firstLineChars="200"/>
        <w:rPr>
          <w:rFonts w:eastAsiaTheme="minorEastAsia"/>
          <w:kern w:val="0"/>
          <w:sz w:val="24"/>
        </w:rPr>
      </w:pPr>
      <w:bookmarkStart w:id="120" w:name="_Toc317509404"/>
      <w:bookmarkStart w:id="121" w:name="_Toc217446052"/>
      <w:bookmarkStart w:id="122" w:name="_Toc317509251"/>
      <w:bookmarkStart w:id="123" w:name="_Toc325464835"/>
      <w:bookmarkStart w:id="124" w:name="_Toc325096486"/>
      <w:bookmarkStart w:id="125" w:name="_Toc183682362"/>
      <w:bookmarkStart w:id="126" w:name="_Toc183582225"/>
      <w:r>
        <w:rPr>
          <w:rFonts w:eastAsiaTheme="minorEastAsia"/>
          <w:kern w:val="0"/>
          <w:sz w:val="24"/>
        </w:rPr>
        <w:t>16．比选申请文件的印制和签署</w:t>
      </w:r>
      <w:bookmarkEnd w:id="120"/>
      <w:bookmarkEnd w:id="121"/>
      <w:bookmarkEnd w:id="122"/>
      <w:bookmarkEnd w:id="123"/>
      <w:bookmarkEnd w:id="124"/>
      <w:bookmarkEnd w:id="125"/>
      <w:bookmarkEnd w:id="126"/>
    </w:p>
    <w:p w14:paraId="6FACC5B9">
      <w:pPr>
        <w:topLinePunct/>
        <w:spacing w:line="360" w:lineRule="auto"/>
        <w:ind w:firstLine="480" w:firstLineChars="200"/>
        <w:rPr>
          <w:rFonts w:eastAsiaTheme="minorEastAsia"/>
          <w:kern w:val="0"/>
          <w:sz w:val="24"/>
        </w:rPr>
      </w:pPr>
      <w:bookmarkStart w:id="127" w:name="_Toc77400781"/>
      <w:bookmarkStart w:id="128" w:name="_Toc89075877"/>
      <w:bookmarkStart w:id="129" w:name="_Toc183582226"/>
      <w:bookmarkStart w:id="130" w:name="_Toc183682363"/>
      <w:bookmarkStart w:id="131" w:name="_Toc325096487"/>
      <w:bookmarkStart w:id="132" w:name="_Toc317509252"/>
      <w:bookmarkStart w:id="133" w:name="_Toc217446053"/>
      <w:bookmarkStart w:id="134" w:name="_Toc317509405"/>
      <w:bookmarkStart w:id="135" w:name="_Toc325464836"/>
      <w:r>
        <w:rPr>
          <w:rFonts w:eastAsiaTheme="minorEastAsia"/>
          <w:kern w:val="0"/>
          <w:sz w:val="24"/>
        </w:rPr>
        <w:t>16.1 比选申请人应按“比选须知前附表”准备比选申请文件正本本。</w:t>
      </w:r>
    </w:p>
    <w:p w14:paraId="30D408FB">
      <w:pPr>
        <w:topLinePunct/>
        <w:spacing w:line="360" w:lineRule="auto"/>
        <w:ind w:firstLine="480" w:firstLineChars="200"/>
        <w:rPr>
          <w:rFonts w:eastAsiaTheme="minorEastAsia"/>
          <w:kern w:val="0"/>
          <w:sz w:val="24"/>
        </w:rPr>
      </w:pPr>
      <w:r>
        <w:rPr>
          <w:rFonts w:eastAsiaTheme="minorEastAsia"/>
          <w:kern w:val="0"/>
          <w:sz w:val="24"/>
        </w:rPr>
        <w:t>16.2 比选申请文件的正本需打印或用不褪色、不变质的墨水书写，并由比选申请人的法定代表人或其授权代表在规定签章处签字和盖鲜章。</w:t>
      </w:r>
    </w:p>
    <w:p w14:paraId="543EA548">
      <w:pPr>
        <w:topLinePunct/>
        <w:spacing w:line="360" w:lineRule="auto"/>
        <w:ind w:firstLine="480" w:firstLineChars="200"/>
        <w:rPr>
          <w:rFonts w:eastAsiaTheme="minorEastAsia"/>
          <w:kern w:val="0"/>
          <w:sz w:val="24"/>
        </w:rPr>
      </w:pPr>
      <w:r>
        <w:rPr>
          <w:rFonts w:eastAsiaTheme="minorEastAsia"/>
          <w:kern w:val="0"/>
          <w:sz w:val="24"/>
        </w:rPr>
        <w:t>16.3 比选申请文件的打印和书写应清楚工整，任何行间插字、涂改或增删，必须由比选申请人的法定代表人或其授权代表签字或盖个人印鉴。字迹潦草、表达不清或可能导致非唯一理解的比选申请文件可能视为无效比选。</w:t>
      </w:r>
    </w:p>
    <w:p w14:paraId="37F5E495">
      <w:pPr>
        <w:topLinePunct/>
        <w:spacing w:line="360" w:lineRule="auto"/>
        <w:ind w:firstLine="480" w:firstLineChars="200"/>
        <w:rPr>
          <w:rFonts w:eastAsiaTheme="minorEastAsia"/>
          <w:kern w:val="0"/>
          <w:sz w:val="24"/>
        </w:rPr>
      </w:pPr>
      <w:r>
        <w:rPr>
          <w:rFonts w:eastAsiaTheme="minorEastAsia"/>
          <w:kern w:val="0"/>
          <w:sz w:val="24"/>
        </w:rPr>
        <w:t>16.4 比选申请文件应根据比选文件的要求制作，签署、盖章和内容应完整。</w:t>
      </w:r>
    </w:p>
    <w:p w14:paraId="4E19283C">
      <w:pPr>
        <w:topLinePunct/>
        <w:spacing w:line="360" w:lineRule="auto"/>
        <w:ind w:firstLine="480" w:firstLineChars="200"/>
        <w:rPr>
          <w:rFonts w:eastAsiaTheme="minorEastAsia"/>
          <w:kern w:val="0"/>
          <w:sz w:val="24"/>
        </w:rPr>
      </w:pPr>
      <w:r>
        <w:rPr>
          <w:rFonts w:eastAsiaTheme="minorEastAsia"/>
          <w:kern w:val="0"/>
          <w:sz w:val="24"/>
        </w:rPr>
        <w:t>16.5 比选申请文件统一用A4幅面纸印制。</w:t>
      </w:r>
    </w:p>
    <w:p w14:paraId="1A8FB66A">
      <w:pPr>
        <w:topLinePunct/>
        <w:spacing w:line="360" w:lineRule="auto"/>
        <w:ind w:firstLine="480" w:firstLineChars="200"/>
        <w:rPr>
          <w:rFonts w:eastAsiaTheme="minorEastAsia"/>
          <w:kern w:val="0"/>
          <w:sz w:val="24"/>
        </w:rPr>
      </w:pPr>
      <w:r>
        <w:rPr>
          <w:rFonts w:eastAsiaTheme="minorEastAsia"/>
          <w:kern w:val="0"/>
          <w:sz w:val="24"/>
        </w:rPr>
        <w:t>17.比选申请文件的密封和标</w:t>
      </w:r>
      <w:bookmarkEnd w:id="127"/>
      <w:bookmarkEnd w:id="128"/>
      <w:bookmarkEnd w:id="129"/>
      <w:bookmarkEnd w:id="130"/>
      <w:r>
        <w:rPr>
          <w:rFonts w:eastAsiaTheme="minorEastAsia"/>
          <w:kern w:val="0"/>
          <w:sz w:val="24"/>
        </w:rPr>
        <w:t>注</w:t>
      </w:r>
      <w:bookmarkEnd w:id="131"/>
      <w:bookmarkEnd w:id="132"/>
      <w:bookmarkEnd w:id="133"/>
      <w:bookmarkEnd w:id="134"/>
      <w:bookmarkEnd w:id="135"/>
    </w:p>
    <w:p w14:paraId="06936B8F">
      <w:pPr>
        <w:topLinePunct/>
        <w:spacing w:line="360" w:lineRule="auto"/>
        <w:ind w:firstLine="480" w:firstLineChars="200"/>
        <w:rPr>
          <w:rFonts w:eastAsiaTheme="minorEastAsia"/>
          <w:kern w:val="0"/>
          <w:sz w:val="24"/>
        </w:rPr>
      </w:pPr>
      <w:r>
        <w:rPr>
          <w:rFonts w:eastAsiaTheme="minorEastAsia"/>
          <w:kern w:val="0"/>
          <w:sz w:val="24"/>
        </w:rPr>
        <w:t>17.1比选申请人应在比选申请文件正本和所有副本的封面上注明比选申请人名称、项目名称。</w:t>
      </w:r>
    </w:p>
    <w:p w14:paraId="7BBEA40C">
      <w:pPr>
        <w:topLinePunct/>
        <w:spacing w:line="360" w:lineRule="auto"/>
        <w:ind w:firstLine="480" w:firstLineChars="200"/>
        <w:rPr>
          <w:rFonts w:eastAsiaTheme="minorEastAsia"/>
          <w:kern w:val="0"/>
          <w:sz w:val="24"/>
        </w:rPr>
      </w:pPr>
      <w:r>
        <w:rPr>
          <w:rFonts w:eastAsiaTheme="minorEastAsia"/>
          <w:kern w:val="0"/>
          <w:sz w:val="24"/>
        </w:rPr>
        <w:t>17.2比选申请文件正本、所有副本应分别封装于密封袋内，密封袋上应分别标上“正本”。</w:t>
      </w:r>
    </w:p>
    <w:p w14:paraId="20B7FA8E">
      <w:pPr>
        <w:topLinePunct/>
        <w:spacing w:line="360" w:lineRule="auto"/>
        <w:ind w:firstLine="480" w:firstLineChars="200"/>
        <w:rPr>
          <w:rFonts w:eastAsiaTheme="minorEastAsia"/>
          <w:kern w:val="0"/>
          <w:sz w:val="24"/>
        </w:rPr>
      </w:pPr>
      <w:r>
        <w:rPr>
          <w:rFonts w:eastAsiaTheme="minorEastAsia"/>
          <w:kern w:val="0"/>
          <w:sz w:val="24"/>
        </w:rPr>
        <w:t>17.3所有外层密封袋的封口处应粘贴牢固，密封袋上注明比选申请人名称、项目名称及比选日期，并加盖密封章(比选申请人公章)。</w:t>
      </w:r>
    </w:p>
    <w:p w14:paraId="1666CD50">
      <w:pPr>
        <w:topLinePunct/>
        <w:spacing w:line="360" w:lineRule="auto"/>
        <w:ind w:firstLine="480" w:firstLineChars="200"/>
        <w:rPr>
          <w:rFonts w:eastAsiaTheme="minorEastAsia"/>
          <w:kern w:val="0"/>
          <w:sz w:val="24"/>
        </w:rPr>
      </w:pPr>
      <w:r>
        <w:rPr>
          <w:rFonts w:eastAsiaTheme="minorEastAsia"/>
          <w:kern w:val="0"/>
          <w:sz w:val="24"/>
        </w:rPr>
        <w:t>17.4未按以上要求进行密封和标注的比选申请文件将被拒绝。</w:t>
      </w:r>
    </w:p>
    <w:p w14:paraId="507BB22B">
      <w:pPr>
        <w:topLinePunct/>
        <w:spacing w:line="360" w:lineRule="auto"/>
        <w:ind w:firstLine="480" w:firstLineChars="200"/>
        <w:rPr>
          <w:rFonts w:eastAsiaTheme="minorEastAsia"/>
          <w:kern w:val="0"/>
          <w:sz w:val="24"/>
        </w:rPr>
      </w:pPr>
      <w:bookmarkStart w:id="136" w:name="_Toc317509406"/>
      <w:bookmarkStart w:id="137" w:name="_Toc325464837"/>
      <w:bookmarkStart w:id="138" w:name="_Toc325096488"/>
      <w:bookmarkStart w:id="139" w:name="_Toc317509253"/>
      <w:r>
        <w:rPr>
          <w:rFonts w:eastAsiaTheme="minorEastAsia"/>
          <w:kern w:val="0"/>
          <w:sz w:val="24"/>
        </w:rPr>
        <w:t>18.比选申请文件的递交</w:t>
      </w:r>
      <w:bookmarkEnd w:id="136"/>
      <w:bookmarkEnd w:id="137"/>
      <w:bookmarkEnd w:id="138"/>
      <w:bookmarkEnd w:id="139"/>
    </w:p>
    <w:p w14:paraId="6376EDE3">
      <w:pPr>
        <w:topLinePunct/>
        <w:spacing w:line="360" w:lineRule="auto"/>
        <w:ind w:firstLine="480" w:firstLineChars="200"/>
        <w:rPr>
          <w:rFonts w:eastAsiaTheme="minorEastAsia"/>
          <w:kern w:val="0"/>
          <w:sz w:val="24"/>
        </w:rPr>
      </w:pPr>
      <w:r>
        <w:rPr>
          <w:rFonts w:eastAsiaTheme="minorEastAsia"/>
          <w:kern w:val="0"/>
          <w:sz w:val="24"/>
        </w:rPr>
        <w:t>18.1比选申请人应在比选文件规定的时间和地点递交比选申请文件；</w:t>
      </w:r>
    </w:p>
    <w:p w14:paraId="6A2E015B">
      <w:pPr>
        <w:topLinePunct/>
        <w:spacing w:line="360" w:lineRule="auto"/>
        <w:ind w:firstLine="480" w:firstLineChars="200"/>
        <w:rPr>
          <w:rFonts w:eastAsiaTheme="minorEastAsia"/>
          <w:kern w:val="0"/>
          <w:sz w:val="24"/>
        </w:rPr>
      </w:pPr>
      <w:r>
        <w:rPr>
          <w:rFonts w:eastAsiaTheme="minorEastAsia"/>
          <w:kern w:val="0"/>
          <w:sz w:val="24"/>
        </w:rPr>
        <w:t>18.2本次比选不接受邮寄的比选申请文件。</w:t>
      </w:r>
    </w:p>
    <w:p w14:paraId="1807CDB4">
      <w:pPr>
        <w:topLinePunct/>
        <w:spacing w:line="360" w:lineRule="auto"/>
        <w:ind w:firstLine="482" w:firstLineChars="200"/>
        <w:jc w:val="left"/>
        <w:rPr>
          <w:rFonts w:eastAsiaTheme="minorEastAsia"/>
          <w:b/>
          <w:bCs/>
          <w:kern w:val="0"/>
          <w:sz w:val="24"/>
        </w:rPr>
      </w:pPr>
      <w:bookmarkStart w:id="140" w:name="_Toc217446056"/>
      <w:bookmarkStart w:id="141" w:name="_Toc89075878"/>
      <w:bookmarkStart w:id="142" w:name="_Toc183582231"/>
      <w:bookmarkStart w:id="143" w:name="_Toc183682368"/>
      <w:bookmarkStart w:id="144" w:name="_Toc77400782"/>
      <w:bookmarkStart w:id="145" w:name="_Toc325464838"/>
      <w:bookmarkStart w:id="146" w:name="_Toc217446059"/>
      <w:r>
        <w:rPr>
          <w:rFonts w:eastAsiaTheme="minorEastAsia"/>
          <w:b/>
          <w:bCs/>
          <w:kern w:val="0"/>
          <w:sz w:val="24"/>
        </w:rPr>
        <w:t>四、</w:t>
      </w:r>
      <w:bookmarkEnd w:id="140"/>
      <w:bookmarkEnd w:id="141"/>
      <w:bookmarkEnd w:id="142"/>
      <w:bookmarkEnd w:id="143"/>
      <w:bookmarkEnd w:id="144"/>
      <w:r>
        <w:rPr>
          <w:rFonts w:eastAsiaTheme="minorEastAsia"/>
          <w:b/>
          <w:bCs/>
          <w:kern w:val="0"/>
          <w:sz w:val="24"/>
        </w:rPr>
        <w:t>比选办法</w:t>
      </w:r>
      <w:bookmarkEnd w:id="145"/>
    </w:p>
    <w:p w14:paraId="32FA1B15">
      <w:pPr>
        <w:topLinePunct/>
        <w:spacing w:line="360" w:lineRule="auto"/>
        <w:ind w:firstLine="480" w:firstLineChars="200"/>
        <w:rPr>
          <w:rFonts w:eastAsiaTheme="minorEastAsia"/>
          <w:kern w:val="0"/>
          <w:sz w:val="24"/>
        </w:rPr>
      </w:pPr>
      <w:bookmarkStart w:id="147" w:name="_Toc325096490"/>
      <w:bookmarkStart w:id="148" w:name="_Toc325464839"/>
      <w:bookmarkStart w:id="149" w:name="_Toc317509255"/>
      <w:bookmarkStart w:id="150" w:name="_Toc317509408"/>
      <w:r>
        <w:rPr>
          <w:rFonts w:eastAsiaTheme="minorEastAsia"/>
          <w:kern w:val="0"/>
          <w:sz w:val="24"/>
        </w:rPr>
        <w:t>19.比选流程</w:t>
      </w:r>
      <w:bookmarkEnd w:id="147"/>
      <w:bookmarkEnd w:id="148"/>
      <w:bookmarkEnd w:id="149"/>
      <w:bookmarkEnd w:id="150"/>
    </w:p>
    <w:bookmarkEnd w:id="146"/>
    <w:p w14:paraId="094250D3">
      <w:pPr>
        <w:topLinePunct/>
        <w:spacing w:line="360" w:lineRule="auto"/>
        <w:ind w:firstLine="480" w:firstLineChars="200"/>
        <w:rPr>
          <w:rFonts w:eastAsiaTheme="minorEastAsia"/>
          <w:kern w:val="0"/>
          <w:sz w:val="24"/>
        </w:rPr>
      </w:pPr>
      <w:bookmarkStart w:id="151" w:name="_Toc217446060"/>
      <w:r>
        <w:rPr>
          <w:rFonts w:eastAsiaTheme="minorEastAsia"/>
          <w:kern w:val="0"/>
          <w:sz w:val="24"/>
        </w:rPr>
        <w:t>19.1比选按比选文件规定的时间和地点进行。比选申请人须有法人或法人授权代表参加并签到，并对所递交的比选申请文件进行密封性检查和签字确认。</w:t>
      </w:r>
    </w:p>
    <w:p w14:paraId="7426512D">
      <w:pPr>
        <w:topLinePunct/>
        <w:spacing w:line="360" w:lineRule="auto"/>
        <w:ind w:firstLine="480" w:firstLineChars="200"/>
        <w:rPr>
          <w:rFonts w:eastAsiaTheme="minorEastAsia"/>
          <w:kern w:val="0"/>
          <w:sz w:val="24"/>
        </w:rPr>
      </w:pPr>
      <w:r>
        <w:rPr>
          <w:rFonts w:eastAsiaTheme="minorEastAsia"/>
          <w:kern w:val="0"/>
          <w:sz w:val="24"/>
        </w:rPr>
        <w:t>19.2评审小组对比选申请人提交的比选申请文件进行资格审查、符合性评审及响应性评审。</w:t>
      </w:r>
    </w:p>
    <w:p w14:paraId="7187B02D">
      <w:pPr>
        <w:topLinePunct/>
        <w:spacing w:line="360" w:lineRule="auto"/>
        <w:ind w:firstLine="480" w:firstLineChars="200"/>
        <w:rPr>
          <w:rFonts w:eastAsiaTheme="minorEastAsia"/>
          <w:kern w:val="0"/>
          <w:sz w:val="24"/>
        </w:rPr>
      </w:pPr>
      <w:r>
        <w:rPr>
          <w:rFonts w:eastAsiaTheme="minorEastAsia"/>
          <w:kern w:val="0"/>
          <w:sz w:val="24"/>
        </w:rPr>
        <w:t>19.3评审小组按照比选申请人中综合得分最高的原则，推荐中选候选人。</w:t>
      </w:r>
    </w:p>
    <w:p w14:paraId="30A589DF">
      <w:pPr>
        <w:topLinePunct/>
        <w:spacing w:line="360" w:lineRule="auto"/>
        <w:ind w:firstLine="480" w:firstLineChars="200"/>
        <w:rPr>
          <w:rFonts w:eastAsiaTheme="minorEastAsia"/>
          <w:kern w:val="0"/>
          <w:sz w:val="24"/>
        </w:rPr>
      </w:pPr>
      <w:r>
        <w:rPr>
          <w:rFonts w:eastAsiaTheme="minorEastAsia"/>
          <w:kern w:val="0"/>
          <w:sz w:val="24"/>
        </w:rPr>
        <w:t>19.4采购人按照评审小组推荐中选候选人的顺序确定中选人。</w:t>
      </w:r>
    </w:p>
    <w:p w14:paraId="47199B69">
      <w:pPr>
        <w:topLinePunct/>
        <w:spacing w:line="360" w:lineRule="auto"/>
        <w:ind w:firstLine="480" w:firstLineChars="200"/>
        <w:rPr>
          <w:rFonts w:eastAsiaTheme="minorEastAsia"/>
          <w:kern w:val="0"/>
          <w:sz w:val="24"/>
        </w:rPr>
      </w:pPr>
      <w:r>
        <w:rPr>
          <w:rFonts w:eastAsiaTheme="minorEastAsia"/>
          <w:kern w:val="0"/>
          <w:sz w:val="24"/>
        </w:rPr>
        <w:t>20.比选申请文件的修改</w:t>
      </w:r>
    </w:p>
    <w:p w14:paraId="21DA6F46">
      <w:pPr>
        <w:topLinePunct/>
        <w:spacing w:line="360" w:lineRule="auto"/>
        <w:ind w:firstLine="480" w:firstLineChars="200"/>
        <w:rPr>
          <w:rFonts w:eastAsiaTheme="minorEastAsia"/>
          <w:kern w:val="0"/>
          <w:sz w:val="24"/>
        </w:rPr>
      </w:pPr>
      <w:r>
        <w:rPr>
          <w:rFonts w:eastAsiaTheme="minorEastAsia"/>
          <w:kern w:val="0"/>
          <w:sz w:val="24"/>
        </w:rPr>
        <w:t>20.1比选申请人在比选过程中所签署的书面的澄清或者说明、经比选申请人确认的修正后均为比选申请文件的组成部分。</w:t>
      </w:r>
    </w:p>
    <w:p w14:paraId="63A153E8">
      <w:pPr>
        <w:topLinePunct/>
        <w:spacing w:line="360" w:lineRule="auto"/>
        <w:ind w:firstLine="482" w:firstLineChars="200"/>
        <w:jc w:val="left"/>
        <w:rPr>
          <w:rFonts w:eastAsiaTheme="minorEastAsia"/>
          <w:b/>
          <w:bCs/>
          <w:kern w:val="0"/>
          <w:sz w:val="24"/>
        </w:rPr>
      </w:pPr>
      <w:bookmarkStart w:id="152" w:name="_Toc325464840"/>
      <w:r>
        <w:rPr>
          <w:rFonts w:eastAsiaTheme="minorEastAsia"/>
          <w:b/>
          <w:bCs/>
          <w:kern w:val="0"/>
          <w:sz w:val="24"/>
        </w:rPr>
        <w:t>五、</w:t>
      </w:r>
      <w:bookmarkEnd w:id="151"/>
      <w:bookmarkEnd w:id="152"/>
      <w:bookmarkStart w:id="153" w:name="_Toc217446061"/>
      <w:r>
        <w:rPr>
          <w:rFonts w:eastAsiaTheme="minorEastAsia"/>
          <w:b/>
          <w:bCs/>
          <w:kern w:val="0"/>
          <w:sz w:val="24"/>
        </w:rPr>
        <w:t>确定中选人</w:t>
      </w:r>
    </w:p>
    <w:p w14:paraId="41F5BEFD">
      <w:pPr>
        <w:topLinePunct/>
        <w:spacing w:line="360" w:lineRule="auto"/>
        <w:ind w:firstLine="480" w:firstLineChars="200"/>
        <w:rPr>
          <w:rFonts w:eastAsiaTheme="minorEastAsia"/>
          <w:kern w:val="0"/>
          <w:sz w:val="24"/>
        </w:rPr>
      </w:pPr>
      <w:bookmarkStart w:id="154" w:name="_Toc325096492"/>
      <w:bookmarkStart w:id="155" w:name="_Toc317509257"/>
      <w:bookmarkStart w:id="156" w:name="_Toc317509410"/>
      <w:bookmarkStart w:id="157" w:name="_Toc325464841"/>
      <w:r>
        <w:rPr>
          <w:rFonts w:eastAsiaTheme="minorEastAsia"/>
          <w:kern w:val="0"/>
          <w:sz w:val="24"/>
        </w:rPr>
        <w:t>21.定标原则</w:t>
      </w:r>
      <w:bookmarkEnd w:id="153"/>
      <w:bookmarkEnd w:id="154"/>
      <w:bookmarkEnd w:id="155"/>
      <w:bookmarkEnd w:id="156"/>
      <w:bookmarkEnd w:id="157"/>
    </w:p>
    <w:p w14:paraId="7A2006AC">
      <w:pPr>
        <w:topLinePunct/>
        <w:spacing w:line="360" w:lineRule="auto"/>
        <w:ind w:firstLine="482" w:firstLineChars="200"/>
        <w:rPr>
          <w:rFonts w:eastAsiaTheme="minorEastAsia"/>
          <w:b/>
          <w:bCs/>
          <w:kern w:val="0"/>
          <w:sz w:val="24"/>
        </w:rPr>
      </w:pPr>
      <w:r>
        <w:rPr>
          <w:rFonts w:eastAsiaTheme="minorEastAsia"/>
          <w:b/>
          <w:bCs/>
          <w:kern w:val="0"/>
          <w:sz w:val="24"/>
        </w:rPr>
        <w:t>根据评审小组推荐的中选候选人名单，按顺序确定得分最高为中选人。</w:t>
      </w:r>
    </w:p>
    <w:p w14:paraId="03DB6B1A">
      <w:pPr>
        <w:topLinePunct/>
        <w:spacing w:line="360" w:lineRule="auto"/>
        <w:ind w:firstLine="480" w:firstLineChars="200"/>
        <w:rPr>
          <w:rFonts w:eastAsiaTheme="minorEastAsia"/>
          <w:kern w:val="0"/>
          <w:sz w:val="24"/>
        </w:rPr>
      </w:pPr>
      <w:bookmarkStart w:id="158" w:name="_Toc317509411"/>
      <w:bookmarkStart w:id="159" w:name="_Toc317509258"/>
      <w:bookmarkStart w:id="160" w:name="_Toc217446062"/>
      <w:bookmarkStart w:id="161" w:name="_Toc325096493"/>
      <w:bookmarkStart w:id="162" w:name="_Toc325464842"/>
      <w:r>
        <w:rPr>
          <w:rFonts w:eastAsiaTheme="minorEastAsia"/>
          <w:kern w:val="0"/>
          <w:sz w:val="24"/>
        </w:rPr>
        <w:t>22.定标程序</w:t>
      </w:r>
      <w:bookmarkEnd w:id="158"/>
      <w:bookmarkEnd w:id="159"/>
      <w:bookmarkEnd w:id="160"/>
      <w:bookmarkEnd w:id="161"/>
      <w:bookmarkEnd w:id="162"/>
    </w:p>
    <w:p w14:paraId="221529B4">
      <w:pPr>
        <w:topLinePunct/>
        <w:spacing w:line="360" w:lineRule="auto"/>
        <w:ind w:firstLine="480" w:firstLineChars="200"/>
        <w:rPr>
          <w:rFonts w:eastAsiaTheme="minorEastAsia"/>
          <w:kern w:val="0"/>
          <w:sz w:val="24"/>
        </w:rPr>
      </w:pPr>
      <w:r>
        <w:rPr>
          <w:rFonts w:eastAsiaTheme="minorEastAsia"/>
          <w:kern w:val="0"/>
          <w:sz w:val="24"/>
        </w:rPr>
        <w:t>22.1评审小组将评审情况写出书面报告，推荐中选候选人，并标明排列顺序。</w:t>
      </w:r>
    </w:p>
    <w:p w14:paraId="056E3BBC">
      <w:pPr>
        <w:topLinePunct/>
        <w:spacing w:line="360" w:lineRule="auto"/>
        <w:ind w:firstLine="480" w:firstLineChars="200"/>
        <w:rPr>
          <w:rFonts w:eastAsiaTheme="minorEastAsia"/>
          <w:kern w:val="0"/>
          <w:sz w:val="24"/>
        </w:rPr>
      </w:pPr>
      <w:r>
        <w:rPr>
          <w:rFonts w:eastAsiaTheme="minorEastAsia"/>
          <w:kern w:val="0"/>
          <w:sz w:val="24"/>
        </w:rPr>
        <w:t>22.2评审小组在评审结束后将比选报告送采购人。</w:t>
      </w:r>
    </w:p>
    <w:p w14:paraId="3ADA3304">
      <w:pPr>
        <w:topLinePunct/>
        <w:spacing w:line="360" w:lineRule="auto"/>
        <w:ind w:firstLine="480" w:firstLineChars="200"/>
        <w:rPr>
          <w:rFonts w:eastAsiaTheme="minorEastAsia"/>
          <w:kern w:val="0"/>
          <w:sz w:val="24"/>
        </w:rPr>
      </w:pPr>
      <w:r>
        <w:rPr>
          <w:rFonts w:eastAsiaTheme="minorEastAsia"/>
          <w:kern w:val="0"/>
          <w:sz w:val="24"/>
        </w:rPr>
        <w:t>22.3采购人在收到比选报告后五个工作日内，根据评审小组推荐意见确定中选人并公示。采购人不解释中选或落选原因，不退回比选申请文件和其他比选申请资料。</w:t>
      </w:r>
    </w:p>
    <w:p w14:paraId="1D90E4F3">
      <w:pPr>
        <w:topLinePunct/>
        <w:spacing w:line="360" w:lineRule="auto"/>
        <w:ind w:firstLine="480" w:firstLineChars="200"/>
        <w:rPr>
          <w:rFonts w:eastAsiaTheme="minorEastAsia"/>
          <w:kern w:val="0"/>
          <w:sz w:val="24"/>
        </w:rPr>
      </w:pPr>
      <w:bookmarkStart w:id="163" w:name="_Toc183682375"/>
      <w:bookmarkStart w:id="164" w:name="_Toc183582238"/>
      <w:bookmarkStart w:id="165" w:name="_Toc317509412"/>
      <w:bookmarkStart w:id="166" w:name="_Toc217446063"/>
      <w:bookmarkStart w:id="167" w:name="_Toc317509259"/>
      <w:bookmarkStart w:id="168" w:name="_Toc325464843"/>
      <w:bookmarkStart w:id="169" w:name="_Toc325096494"/>
      <w:r>
        <w:rPr>
          <w:rFonts w:eastAsiaTheme="minorEastAsia"/>
          <w:kern w:val="0"/>
          <w:sz w:val="24"/>
        </w:rPr>
        <w:t>23．中选通知</w:t>
      </w:r>
      <w:bookmarkEnd w:id="163"/>
      <w:bookmarkEnd w:id="164"/>
      <w:r>
        <w:rPr>
          <w:rFonts w:eastAsiaTheme="minorEastAsia"/>
          <w:kern w:val="0"/>
          <w:sz w:val="24"/>
        </w:rPr>
        <w:t>书</w:t>
      </w:r>
      <w:bookmarkEnd w:id="165"/>
      <w:bookmarkEnd w:id="166"/>
      <w:bookmarkEnd w:id="167"/>
      <w:bookmarkEnd w:id="168"/>
      <w:bookmarkEnd w:id="169"/>
    </w:p>
    <w:p w14:paraId="4FDDDE28">
      <w:pPr>
        <w:topLinePunct/>
        <w:spacing w:line="360" w:lineRule="auto"/>
        <w:ind w:firstLine="480" w:firstLineChars="200"/>
        <w:rPr>
          <w:rFonts w:eastAsiaTheme="minorEastAsia"/>
          <w:kern w:val="0"/>
          <w:sz w:val="24"/>
        </w:rPr>
      </w:pPr>
      <w:r>
        <w:rPr>
          <w:rFonts w:eastAsiaTheme="minorEastAsia"/>
          <w:kern w:val="0"/>
          <w:sz w:val="24"/>
        </w:rPr>
        <w:t>23.1中选通知书为签订比选合同的依据，是合同的有效组成部分。</w:t>
      </w:r>
    </w:p>
    <w:p w14:paraId="776D63D9">
      <w:pPr>
        <w:topLinePunct/>
        <w:spacing w:line="360" w:lineRule="auto"/>
        <w:ind w:firstLine="480" w:firstLineChars="200"/>
        <w:rPr>
          <w:rFonts w:eastAsiaTheme="minorEastAsia"/>
          <w:kern w:val="0"/>
          <w:sz w:val="24"/>
        </w:rPr>
      </w:pPr>
      <w:r>
        <w:rPr>
          <w:rFonts w:eastAsiaTheme="minorEastAsia"/>
          <w:kern w:val="0"/>
          <w:sz w:val="24"/>
        </w:rPr>
        <w:t>23.2中选通知书对采购人和中选人均具有法律效力。中选通知书发出后，采购人改变中选结果，或者中选人无正当理由放弃中选的，应当承担相应的法律责任。</w:t>
      </w:r>
    </w:p>
    <w:p w14:paraId="211830B2">
      <w:pPr>
        <w:spacing w:line="360" w:lineRule="auto"/>
        <w:rPr>
          <w:sz w:val="24"/>
        </w:rPr>
      </w:pPr>
      <w:r>
        <w:rPr>
          <w:rFonts w:eastAsiaTheme="minorEastAsia"/>
          <w:kern w:val="0"/>
          <w:sz w:val="24"/>
        </w:rPr>
        <w:t>23.3中选人的比选申请文件本应作为无效比选处理或者有法律法规规章制度规定的中选无效情形的，采购人认定以后，应当宣布发出的中选通知书无效，并收回发出的中选通知书，依法重新确定中选人或者重新开展比选活动。</w:t>
      </w:r>
      <w:r>
        <w:rPr>
          <w:sz w:val="24"/>
        </w:rPr>
        <w:t xml:space="preserve">  </w:t>
      </w:r>
    </w:p>
    <w:p w14:paraId="554A42A4">
      <w:pPr>
        <w:spacing w:line="360" w:lineRule="auto"/>
        <w:rPr>
          <w:sz w:val="24"/>
        </w:rPr>
      </w:pPr>
      <w:r>
        <w:rPr>
          <w:sz w:val="24"/>
        </w:rPr>
        <w:t xml:space="preserve">    24.评比情况公告</w:t>
      </w:r>
    </w:p>
    <w:p w14:paraId="1D0088AD">
      <w:pPr>
        <w:spacing w:line="360" w:lineRule="auto"/>
        <w:rPr>
          <w:rFonts w:eastAsiaTheme="minorEastAsia"/>
          <w:kern w:val="0"/>
          <w:sz w:val="24"/>
        </w:rPr>
      </w:pPr>
      <w:r>
        <w:rPr>
          <w:sz w:val="24"/>
        </w:rPr>
        <w:t xml:space="preserve">    24.1评比</w:t>
      </w:r>
      <w:r>
        <w:rPr>
          <w:rFonts w:eastAsiaTheme="minorEastAsia"/>
          <w:kern w:val="0"/>
          <w:sz w:val="24"/>
        </w:rPr>
        <w:t>结果将在成都市温江区人民政府网站公告</w:t>
      </w:r>
    </w:p>
    <w:p w14:paraId="5BDCF44E">
      <w:pPr>
        <w:topLinePunct/>
        <w:spacing w:line="360" w:lineRule="auto"/>
        <w:ind w:firstLine="482" w:firstLineChars="200"/>
        <w:jc w:val="left"/>
        <w:rPr>
          <w:rFonts w:eastAsiaTheme="minorEastAsia"/>
          <w:b/>
          <w:bCs/>
          <w:kern w:val="0"/>
          <w:sz w:val="24"/>
        </w:rPr>
      </w:pPr>
      <w:bookmarkStart w:id="170" w:name="_Toc325464844"/>
      <w:bookmarkStart w:id="171" w:name="_Toc217446064"/>
      <w:bookmarkStart w:id="172" w:name="_Toc183582240"/>
      <w:bookmarkStart w:id="173" w:name="_Toc183682377"/>
      <w:r>
        <w:rPr>
          <w:rFonts w:eastAsiaTheme="minorEastAsia"/>
          <w:b/>
          <w:bCs/>
          <w:kern w:val="0"/>
          <w:sz w:val="24"/>
        </w:rPr>
        <w:t>六、合同</w:t>
      </w:r>
      <w:bookmarkEnd w:id="170"/>
      <w:bookmarkEnd w:id="171"/>
      <w:r>
        <w:rPr>
          <w:rFonts w:eastAsiaTheme="minorEastAsia"/>
          <w:b/>
          <w:bCs/>
          <w:kern w:val="0"/>
          <w:sz w:val="24"/>
        </w:rPr>
        <w:t>签订</w:t>
      </w:r>
    </w:p>
    <w:p w14:paraId="7D239A24">
      <w:pPr>
        <w:topLinePunct/>
        <w:spacing w:line="360" w:lineRule="auto"/>
        <w:ind w:firstLine="480" w:firstLineChars="200"/>
        <w:rPr>
          <w:rFonts w:eastAsiaTheme="minorEastAsia"/>
          <w:kern w:val="0"/>
          <w:sz w:val="24"/>
        </w:rPr>
      </w:pPr>
      <w:bookmarkStart w:id="174" w:name="_Toc325464845"/>
      <w:bookmarkStart w:id="175" w:name="_Toc325096496"/>
      <w:bookmarkStart w:id="176" w:name="_Toc317509414"/>
      <w:bookmarkStart w:id="177" w:name="_Toc217446065"/>
      <w:bookmarkStart w:id="178" w:name="_Toc317509261"/>
      <w:r>
        <w:rPr>
          <w:rFonts w:eastAsiaTheme="minorEastAsia"/>
          <w:kern w:val="0"/>
          <w:sz w:val="24"/>
        </w:rPr>
        <w:t>25.签订合同</w:t>
      </w:r>
      <w:bookmarkEnd w:id="174"/>
      <w:bookmarkEnd w:id="175"/>
      <w:bookmarkEnd w:id="176"/>
      <w:bookmarkEnd w:id="177"/>
      <w:bookmarkEnd w:id="178"/>
    </w:p>
    <w:p w14:paraId="13B7A1A8">
      <w:pPr>
        <w:topLinePunct/>
        <w:spacing w:line="360" w:lineRule="auto"/>
        <w:ind w:firstLine="480" w:firstLineChars="200"/>
        <w:rPr>
          <w:rFonts w:eastAsiaTheme="minorEastAsia"/>
          <w:kern w:val="0"/>
          <w:sz w:val="24"/>
        </w:rPr>
      </w:pPr>
      <w:r>
        <w:rPr>
          <w:rFonts w:eastAsiaTheme="minorEastAsia"/>
          <w:kern w:val="0"/>
          <w:sz w:val="24"/>
        </w:rPr>
        <w:t>25.1 中选人在收到采购人发出的中选通知书后，应自中选通知书发出之日起30日内与采购人签订比选合同。由于中选人的原因逾期未与采购人签订比选合同的，将视为放弃中选，取消其中选资格并将按相关规定进行处理。</w:t>
      </w:r>
    </w:p>
    <w:p w14:paraId="4965B352">
      <w:pPr>
        <w:topLinePunct/>
        <w:spacing w:line="360" w:lineRule="auto"/>
        <w:ind w:firstLine="480" w:firstLineChars="200"/>
        <w:rPr>
          <w:rFonts w:eastAsiaTheme="minorEastAsia"/>
          <w:kern w:val="0"/>
          <w:sz w:val="24"/>
        </w:rPr>
      </w:pPr>
      <w:r>
        <w:rPr>
          <w:rFonts w:eastAsiaTheme="minorEastAsia"/>
          <w:kern w:val="0"/>
          <w:sz w:val="24"/>
        </w:rPr>
        <w:t>25.2采购人不得向中选人提出任何不合理的要求，作为签订合同的条件，不得与中选人私下订立背离合同实质性内容的任何协议，所签订的合同不得对比选文件和中选人谈判文件作实质性修改。</w:t>
      </w:r>
    </w:p>
    <w:p w14:paraId="5D42319C">
      <w:pPr>
        <w:topLinePunct/>
        <w:spacing w:line="360" w:lineRule="auto"/>
        <w:ind w:firstLine="480" w:firstLineChars="200"/>
        <w:rPr>
          <w:rFonts w:eastAsiaTheme="minorEastAsia"/>
          <w:kern w:val="0"/>
          <w:sz w:val="24"/>
        </w:rPr>
      </w:pPr>
      <w:r>
        <w:rPr>
          <w:rFonts w:eastAsiaTheme="minorEastAsia"/>
          <w:kern w:val="0"/>
          <w:sz w:val="24"/>
        </w:rPr>
        <w:t>25.3中选人因不可抗力原因不能履行比选合同或放弃中选的，采购人可以与排在中选人之后第一位的中选候选比选申请人签订比选合同，以此类推。</w:t>
      </w:r>
    </w:p>
    <w:p w14:paraId="76FC735B">
      <w:pPr>
        <w:topLinePunct/>
        <w:spacing w:line="360" w:lineRule="auto"/>
        <w:ind w:firstLine="480" w:firstLineChars="200"/>
        <w:rPr>
          <w:rFonts w:eastAsiaTheme="minorEastAsia"/>
          <w:kern w:val="0"/>
          <w:sz w:val="24"/>
        </w:rPr>
      </w:pPr>
      <w:bookmarkStart w:id="179" w:name="_Toc325096498"/>
      <w:bookmarkStart w:id="180" w:name="_Toc217446069"/>
      <w:bookmarkStart w:id="181" w:name="_Toc325464847"/>
      <w:bookmarkStart w:id="182" w:name="_Toc317509417"/>
      <w:bookmarkStart w:id="183" w:name="_Toc317509264"/>
      <w:r>
        <w:rPr>
          <w:rFonts w:eastAsiaTheme="minorEastAsia"/>
          <w:kern w:val="0"/>
          <w:sz w:val="24"/>
        </w:rPr>
        <w:t>26.履行合同</w:t>
      </w:r>
      <w:bookmarkEnd w:id="179"/>
      <w:bookmarkEnd w:id="180"/>
      <w:bookmarkEnd w:id="181"/>
      <w:bookmarkEnd w:id="182"/>
      <w:bookmarkEnd w:id="183"/>
    </w:p>
    <w:p w14:paraId="1D2BEC52">
      <w:pPr>
        <w:topLinePunct/>
        <w:spacing w:line="360" w:lineRule="auto"/>
        <w:ind w:firstLine="480" w:firstLineChars="200"/>
        <w:rPr>
          <w:rFonts w:eastAsiaTheme="minorEastAsia"/>
          <w:kern w:val="0"/>
          <w:sz w:val="24"/>
        </w:rPr>
      </w:pPr>
      <w:r>
        <w:rPr>
          <w:rFonts w:eastAsiaTheme="minorEastAsia"/>
          <w:kern w:val="0"/>
          <w:sz w:val="24"/>
        </w:rPr>
        <w:t>26.1中选人与采购人签订合同后，合同双方应严格执行合同条款，履行合同规定的义务，保证合同的顺利完成。</w:t>
      </w:r>
    </w:p>
    <w:p w14:paraId="5E086874">
      <w:pPr>
        <w:topLinePunct/>
        <w:spacing w:line="360" w:lineRule="auto"/>
        <w:ind w:firstLine="480" w:firstLineChars="200"/>
        <w:rPr>
          <w:rFonts w:eastAsiaTheme="minorEastAsia"/>
          <w:kern w:val="0"/>
          <w:sz w:val="24"/>
        </w:rPr>
      </w:pPr>
      <w:r>
        <w:rPr>
          <w:rFonts w:eastAsiaTheme="minorEastAsia"/>
          <w:kern w:val="0"/>
          <w:sz w:val="24"/>
        </w:rPr>
        <w:t>26.2在合同履行过程中，如发生合同纠纷，合同双方应按照《</w:t>
      </w:r>
      <w:r>
        <w:rPr>
          <w:szCs w:val="21"/>
          <w:shd w:val="clear" w:color="auto" w:fill="FFFFFF"/>
        </w:rPr>
        <w:t>中华人民共和国民法典</w:t>
      </w:r>
      <w:r>
        <w:rPr>
          <w:rFonts w:eastAsiaTheme="minorEastAsia"/>
          <w:kern w:val="0"/>
          <w:sz w:val="24"/>
        </w:rPr>
        <w:t>》的有关规定进行处理。</w:t>
      </w:r>
    </w:p>
    <w:p w14:paraId="1A0CACD6">
      <w:pPr>
        <w:topLinePunct/>
        <w:spacing w:line="360" w:lineRule="auto"/>
        <w:ind w:firstLine="482" w:firstLineChars="200"/>
        <w:jc w:val="left"/>
        <w:rPr>
          <w:rFonts w:eastAsiaTheme="minorEastAsia"/>
          <w:b/>
          <w:bCs/>
          <w:kern w:val="0"/>
          <w:sz w:val="24"/>
        </w:rPr>
      </w:pPr>
      <w:bookmarkStart w:id="184" w:name="_Toc217446071"/>
      <w:bookmarkStart w:id="185" w:name="_Toc325464849"/>
      <w:r>
        <w:rPr>
          <w:rFonts w:eastAsiaTheme="minorEastAsia"/>
          <w:b/>
          <w:bCs/>
          <w:kern w:val="0"/>
          <w:sz w:val="24"/>
        </w:rPr>
        <w:t>七、废 标</w:t>
      </w:r>
      <w:bookmarkEnd w:id="184"/>
      <w:bookmarkEnd w:id="185"/>
    </w:p>
    <w:bookmarkEnd w:id="172"/>
    <w:bookmarkEnd w:id="173"/>
    <w:p w14:paraId="10B1A640">
      <w:pPr>
        <w:topLinePunct/>
        <w:spacing w:line="360" w:lineRule="auto"/>
        <w:ind w:firstLine="480" w:firstLineChars="200"/>
        <w:rPr>
          <w:rFonts w:eastAsiaTheme="minorEastAsia"/>
          <w:kern w:val="0"/>
          <w:sz w:val="24"/>
        </w:rPr>
      </w:pPr>
      <w:bookmarkStart w:id="186" w:name="_Toc325096501"/>
      <w:bookmarkStart w:id="187" w:name="_Toc325464850"/>
      <w:bookmarkStart w:id="188" w:name="_Toc317509267"/>
      <w:bookmarkStart w:id="189" w:name="_Toc317509420"/>
      <w:bookmarkStart w:id="190" w:name="_Toc217446072"/>
      <w:bookmarkStart w:id="191" w:name="_Toc183582243"/>
      <w:bookmarkStart w:id="192" w:name="_Toc183682380"/>
      <w:r>
        <w:rPr>
          <w:rFonts w:eastAsiaTheme="minorEastAsia"/>
          <w:kern w:val="0"/>
          <w:sz w:val="24"/>
        </w:rPr>
        <w:t>27.废标的情形</w:t>
      </w:r>
      <w:bookmarkEnd w:id="186"/>
      <w:bookmarkEnd w:id="187"/>
      <w:bookmarkEnd w:id="188"/>
      <w:bookmarkEnd w:id="189"/>
      <w:bookmarkEnd w:id="190"/>
    </w:p>
    <w:p w14:paraId="1A49ACDE">
      <w:pPr>
        <w:topLinePunct/>
        <w:spacing w:line="360" w:lineRule="auto"/>
        <w:ind w:firstLine="480" w:firstLineChars="200"/>
        <w:rPr>
          <w:rFonts w:eastAsiaTheme="minorEastAsia"/>
          <w:kern w:val="0"/>
          <w:sz w:val="24"/>
        </w:rPr>
      </w:pPr>
      <w:r>
        <w:rPr>
          <w:rFonts w:eastAsiaTheme="minorEastAsia"/>
          <w:kern w:val="0"/>
          <w:sz w:val="24"/>
        </w:rPr>
        <w:t>比选中，出现下列情形之一的，予以废标：</w:t>
      </w:r>
    </w:p>
    <w:p w14:paraId="04DAD40C">
      <w:pPr>
        <w:topLinePunct/>
        <w:spacing w:line="360" w:lineRule="auto"/>
        <w:ind w:firstLine="480" w:firstLineChars="200"/>
        <w:rPr>
          <w:rFonts w:eastAsiaTheme="minorEastAsia"/>
          <w:kern w:val="0"/>
          <w:sz w:val="24"/>
        </w:rPr>
      </w:pPr>
      <w:r>
        <w:rPr>
          <w:rFonts w:eastAsiaTheme="minorEastAsia"/>
          <w:kern w:val="0"/>
          <w:sz w:val="24"/>
        </w:rPr>
        <w:t>(1)出现影响比选公正的违法、违规行为的；</w:t>
      </w:r>
    </w:p>
    <w:p w14:paraId="1D27AFC8">
      <w:pPr>
        <w:topLinePunct/>
        <w:spacing w:line="360" w:lineRule="auto"/>
        <w:ind w:firstLine="480" w:firstLineChars="200"/>
        <w:rPr>
          <w:rFonts w:eastAsiaTheme="minorEastAsia"/>
          <w:kern w:val="0"/>
          <w:sz w:val="24"/>
        </w:rPr>
      </w:pPr>
      <w:r>
        <w:rPr>
          <w:rFonts w:eastAsiaTheme="minorEastAsia"/>
          <w:kern w:val="0"/>
          <w:sz w:val="24"/>
        </w:rPr>
        <w:t>(2)因重大变故，比选任务取消的。</w:t>
      </w:r>
    </w:p>
    <w:p w14:paraId="39BE5C45">
      <w:pPr>
        <w:topLinePunct/>
        <w:spacing w:line="360" w:lineRule="auto"/>
        <w:ind w:firstLine="482" w:firstLineChars="200"/>
        <w:jc w:val="left"/>
        <w:rPr>
          <w:rFonts w:eastAsiaTheme="minorEastAsia"/>
          <w:b/>
          <w:bCs/>
          <w:kern w:val="0"/>
          <w:sz w:val="24"/>
        </w:rPr>
      </w:pPr>
      <w:bookmarkStart w:id="193" w:name="_Toc317509268"/>
      <w:bookmarkStart w:id="194" w:name="_Toc325464851"/>
      <w:bookmarkStart w:id="195" w:name="_Toc217446074"/>
      <w:r>
        <w:rPr>
          <w:rFonts w:eastAsiaTheme="minorEastAsia"/>
          <w:b/>
          <w:bCs/>
          <w:kern w:val="0"/>
          <w:sz w:val="24"/>
        </w:rPr>
        <w:t>八、比选纪律要求</w:t>
      </w:r>
      <w:bookmarkEnd w:id="193"/>
      <w:bookmarkEnd w:id="194"/>
      <w:bookmarkEnd w:id="195"/>
    </w:p>
    <w:p w14:paraId="42ADB274">
      <w:pPr>
        <w:topLinePunct/>
        <w:spacing w:line="360" w:lineRule="auto"/>
        <w:ind w:firstLine="480" w:firstLineChars="200"/>
        <w:rPr>
          <w:rFonts w:eastAsiaTheme="minorEastAsia"/>
          <w:kern w:val="0"/>
          <w:sz w:val="24"/>
        </w:rPr>
      </w:pPr>
      <w:bookmarkStart w:id="196" w:name="_Toc317509269"/>
      <w:bookmarkStart w:id="197" w:name="_Toc317509422"/>
      <w:bookmarkStart w:id="198" w:name="_Toc325464852"/>
      <w:bookmarkStart w:id="199" w:name="_Toc217446075"/>
      <w:bookmarkStart w:id="200" w:name="_Toc325096503"/>
      <w:r>
        <w:rPr>
          <w:rFonts w:eastAsiaTheme="minorEastAsia"/>
          <w:kern w:val="0"/>
          <w:sz w:val="24"/>
        </w:rPr>
        <w:t>28.比选申请人不得具有的情形</w:t>
      </w:r>
      <w:bookmarkEnd w:id="196"/>
      <w:bookmarkEnd w:id="197"/>
      <w:bookmarkEnd w:id="198"/>
      <w:bookmarkEnd w:id="199"/>
      <w:bookmarkEnd w:id="200"/>
    </w:p>
    <w:p w14:paraId="6FF6EBB5">
      <w:pPr>
        <w:topLinePunct/>
        <w:spacing w:line="360" w:lineRule="auto"/>
        <w:ind w:firstLine="480" w:firstLineChars="200"/>
        <w:rPr>
          <w:rFonts w:eastAsiaTheme="minorEastAsia"/>
          <w:kern w:val="0"/>
          <w:sz w:val="24"/>
        </w:rPr>
      </w:pPr>
      <w:bookmarkStart w:id="201" w:name="_Hlk17730017"/>
      <w:r>
        <w:rPr>
          <w:rFonts w:eastAsiaTheme="minorEastAsia"/>
          <w:kern w:val="0"/>
          <w:sz w:val="24"/>
        </w:rPr>
        <w:t>比选申请人</w:t>
      </w:r>
      <w:bookmarkEnd w:id="201"/>
      <w:r>
        <w:rPr>
          <w:rFonts w:eastAsiaTheme="minorEastAsia"/>
          <w:kern w:val="0"/>
          <w:sz w:val="24"/>
        </w:rPr>
        <w:t>参加比选不得有下列情形：</w:t>
      </w:r>
    </w:p>
    <w:p w14:paraId="15876F30">
      <w:pPr>
        <w:topLinePunct/>
        <w:spacing w:line="360" w:lineRule="auto"/>
        <w:ind w:firstLine="480" w:firstLineChars="200"/>
        <w:rPr>
          <w:rFonts w:eastAsiaTheme="minorEastAsia"/>
          <w:kern w:val="0"/>
          <w:sz w:val="24"/>
        </w:rPr>
      </w:pPr>
      <w:r>
        <w:rPr>
          <w:rFonts w:eastAsiaTheme="minorEastAsia"/>
          <w:kern w:val="0"/>
          <w:sz w:val="24"/>
        </w:rPr>
        <w:t>(1)提供虚假材料谋取中选；</w:t>
      </w:r>
    </w:p>
    <w:p w14:paraId="0B139FBD">
      <w:pPr>
        <w:topLinePunct/>
        <w:spacing w:line="360" w:lineRule="auto"/>
        <w:ind w:firstLine="480" w:firstLineChars="200"/>
        <w:rPr>
          <w:rFonts w:eastAsiaTheme="minorEastAsia"/>
          <w:kern w:val="0"/>
          <w:sz w:val="24"/>
        </w:rPr>
      </w:pPr>
      <w:r>
        <w:rPr>
          <w:rFonts w:eastAsiaTheme="minorEastAsia"/>
          <w:kern w:val="0"/>
          <w:sz w:val="24"/>
        </w:rPr>
        <w:t>(2)采取不正当手段诋毁、排挤其他比选申请人；</w:t>
      </w:r>
    </w:p>
    <w:p w14:paraId="3E597640">
      <w:pPr>
        <w:topLinePunct/>
        <w:spacing w:line="360" w:lineRule="auto"/>
        <w:ind w:firstLine="480" w:firstLineChars="200"/>
        <w:rPr>
          <w:rFonts w:eastAsiaTheme="minorEastAsia"/>
          <w:kern w:val="0"/>
          <w:sz w:val="24"/>
        </w:rPr>
      </w:pPr>
      <w:r>
        <w:rPr>
          <w:rFonts w:eastAsiaTheme="minorEastAsia"/>
          <w:kern w:val="0"/>
          <w:sz w:val="24"/>
        </w:rPr>
        <w:t>(3)与比选单位、其他比选申请人恶意串通；</w:t>
      </w:r>
    </w:p>
    <w:p w14:paraId="60604F33">
      <w:pPr>
        <w:topLinePunct/>
        <w:spacing w:line="360" w:lineRule="auto"/>
        <w:ind w:firstLine="480" w:firstLineChars="200"/>
        <w:rPr>
          <w:rFonts w:eastAsiaTheme="minorEastAsia"/>
          <w:kern w:val="0"/>
          <w:sz w:val="24"/>
        </w:rPr>
      </w:pPr>
      <w:r>
        <w:rPr>
          <w:rFonts w:eastAsiaTheme="minorEastAsia"/>
          <w:kern w:val="0"/>
          <w:sz w:val="24"/>
        </w:rPr>
        <w:t>(4)向比选单位、评审小组成员行贿或者提供其他不正当利益；</w:t>
      </w:r>
    </w:p>
    <w:p w14:paraId="0EEF10F0">
      <w:pPr>
        <w:topLinePunct/>
        <w:spacing w:line="360" w:lineRule="auto"/>
        <w:ind w:firstLine="480" w:firstLineChars="200"/>
        <w:rPr>
          <w:rFonts w:eastAsiaTheme="minorEastAsia"/>
          <w:kern w:val="0"/>
          <w:sz w:val="24"/>
        </w:rPr>
      </w:pPr>
      <w:r>
        <w:rPr>
          <w:rFonts w:eastAsiaTheme="minorEastAsia"/>
          <w:kern w:val="0"/>
          <w:sz w:val="24"/>
        </w:rPr>
        <w:t>(5)拒绝有关部门的监督检查或者向监督检查部门提供虚假情况。</w:t>
      </w:r>
    </w:p>
    <w:p w14:paraId="7CF20F12">
      <w:pPr>
        <w:topLinePunct/>
        <w:spacing w:line="360" w:lineRule="auto"/>
        <w:ind w:firstLine="480" w:firstLineChars="200"/>
        <w:rPr>
          <w:rFonts w:eastAsiaTheme="minorEastAsia"/>
          <w:kern w:val="0"/>
          <w:sz w:val="24"/>
        </w:rPr>
      </w:pPr>
      <w:r>
        <w:rPr>
          <w:rFonts w:eastAsiaTheme="minorEastAsia"/>
          <w:kern w:val="0"/>
          <w:sz w:val="24"/>
        </w:rPr>
        <w:t>有上述情形之一的比选申请人，属于不合格比选申请人，其比选申请人资格或中选资格将被取消。</w:t>
      </w:r>
      <w:bookmarkEnd w:id="191"/>
      <w:bookmarkEnd w:id="192"/>
    </w:p>
    <w:p w14:paraId="63BA6D60">
      <w:pPr>
        <w:widowControl/>
        <w:jc w:val="left"/>
        <w:rPr>
          <w:rFonts w:eastAsiaTheme="minorEastAsia"/>
          <w:kern w:val="0"/>
          <w:sz w:val="28"/>
          <w:szCs w:val="28"/>
        </w:rPr>
      </w:pPr>
      <w:r>
        <w:rPr>
          <w:rFonts w:eastAsiaTheme="minorEastAsia"/>
          <w:kern w:val="0"/>
          <w:sz w:val="28"/>
          <w:szCs w:val="28"/>
        </w:rPr>
        <w:br w:type="page"/>
      </w:r>
    </w:p>
    <w:p w14:paraId="42D5DEEC">
      <w:pPr>
        <w:pStyle w:val="2"/>
        <w:rPr>
          <w:rFonts w:eastAsiaTheme="minorEastAsia"/>
        </w:rPr>
      </w:pPr>
      <w:bookmarkStart w:id="202" w:name="_Toc7003"/>
      <w:r>
        <w:rPr>
          <w:rFonts w:eastAsiaTheme="minorEastAsia"/>
        </w:rPr>
        <w:t>第三章  服务内容及技术要求</w:t>
      </w:r>
      <w:bookmarkEnd w:id="202"/>
    </w:p>
    <w:p w14:paraId="6F401F95">
      <w:pPr>
        <w:jc w:val="left"/>
      </w:pPr>
      <w:r>
        <w:rPr>
          <w:b/>
          <w:bCs/>
          <w:sz w:val="28"/>
          <w:szCs w:val="28"/>
        </w:rPr>
        <w:t>一、成果内容</w:t>
      </w:r>
    </w:p>
    <w:p w14:paraId="50DD2929">
      <w:pPr>
        <w:pStyle w:val="8"/>
        <w:spacing w:after="0" w:line="480" w:lineRule="exact"/>
        <w:ind w:firstLine="480" w:firstLineChars="200"/>
        <w:outlineLvl w:val="1"/>
        <w:rPr>
          <w:rFonts w:ascii="Times New Roman"/>
          <w:bCs/>
          <w:sz w:val="24"/>
        </w:rPr>
      </w:pPr>
      <w:r>
        <w:rPr>
          <w:rFonts w:ascii="Times New Roman"/>
          <w:bCs/>
          <w:sz w:val="24"/>
        </w:rPr>
        <w:t>1、项目概况</w:t>
      </w:r>
    </w:p>
    <w:p w14:paraId="62219B90">
      <w:pPr>
        <w:pStyle w:val="8"/>
        <w:spacing w:after="0" w:line="480" w:lineRule="exact"/>
        <w:ind w:firstLine="480" w:firstLineChars="200"/>
        <w:outlineLvl w:val="1"/>
        <w:rPr>
          <w:rFonts w:ascii="Times New Roman"/>
          <w:bCs/>
          <w:sz w:val="24"/>
        </w:rPr>
      </w:pPr>
      <w:r>
        <w:rPr>
          <w:rFonts w:ascii="Times New Roman"/>
          <w:bCs/>
          <w:sz w:val="24"/>
        </w:rPr>
        <w:t>根据《成都市温江区规范农村宅基地审批和住房建设管理实施细则》和《关于规范农村宅基地建房建设相关工作的通知》等相关规定要求，开展农村宅基地和住房定位验线测绘工作。其具体工作内容如下：</w:t>
      </w:r>
    </w:p>
    <w:p w14:paraId="2930908E">
      <w:pPr>
        <w:pStyle w:val="8"/>
        <w:spacing w:line="480" w:lineRule="exact"/>
        <w:ind w:firstLine="480" w:firstLineChars="200"/>
        <w:rPr>
          <w:rFonts w:ascii="Times New Roman"/>
          <w:bCs/>
          <w:sz w:val="24"/>
        </w:rPr>
      </w:pPr>
      <w:r>
        <w:rPr>
          <w:rFonts w:ascii="Times New Roman"/>
          <w:bCs/>
          <w:sz w:val="24"/>
        </w:rPr>
        <w:t>实测宅基地用地范围及建筑角点平面坐标，核验宅基地用地范围、建筑平面位置及占地范围。</w:t>
      </w:r>
    </w:p>
    <w:p w14:paraId="2DD1039B">
      <w:pPr>
        <w:pStyle w:val="8"/>
        <w:spacing w:line="480" w:lineRule="exact"/>
        <w:ind w:firstLine="480" w:firstLineChars="200"/>
        <w:rPr>
          <w:rFonts w:ascii="Times New Roman"/>
          <w:bCs/>
          <w:sz w:val="24"/>
        </w:rPr>
      </w:pPr>
      <w:r>
        <w:rPr>
          <w:rFonts w:ascii="Times New Roman"/>
          <w:bCs/>
          <w:sz w:val="24"/>
        </w:rPr>
        <w:t>2、验线测绘内容</w:t>
      </w:r>
    </w:p>
    <w:p w14:paraId="1A06EAAB">
      <w:pPr>
        <w:pStyle w:val="8"/>
        <w:spacing w:line="480" w:lineRule="exact"/>
        <w:ind w:firstLine="480" w:firstLineChars="200"/>
        <w:rPr>
          <w:rFonts w:ascii="Times New Roman"/>
          <w:bCs/>
          <w:sz w:val="24"/>
        </w:rPr>
      </w:pPr>
      <w:r>
        <w:rPr>
          <w:rFonts w:ascii="Times New Roman"/>
          <w:bCs/>
          <w:sz w:val="24"/>
        </w:rPr>
        <w:t>（1）实测宅基地用地范围、宅基地四至边界及建筑角点平面坐标；</w:t>
      </w:r>
    </w:p>
    <w:p w14:paraId="7B65BBCE">
      <w:pPr>
        <w:pStyle w:val="8"/>
        <w:spacing w:line="480" w:lineRule="exact"/>
        <w:ind w:firstLine="480" w:firstLineChars="200"/>
        <w:rPr>
          <w:rFonts w:ascii="Times New Roman"/>
          <w:bCs/>
          <w:sz w:val="24"/>
        </w:rPr>
      </w:pPr>
      <w:r>
        <w:rPr>
          <w:rFonts w:ascii="Times New Roman"/>
          <w:bCs/>
          <w:sz w:val="24"/>
        </w:rPr>
        <w:t>（2）实地放样已建房屋角点位置，标注</w:t>
      </w:r>
      <w:r>
        <w:rPr>
          <w:rFonts w:hint="eastAsia" w:ascii="Times New Roman"/>
          <w:bCs/>
          <w:sz w:val="24"/>
        </w:rPr>
        <w:t>已</w:t>
      </w:r>
      <w:r>
        <w:rPr>
          <w:rFonts w:ascii="Times New Roman"/>
          <w:bCs/>
          <w:sz w:val="24"/>
        </w:rPr>
        <w:t>建建筑平面位置；</w:t>
      </w:r>
    </w:p>
    <w:p w14:paraId="2A9D994C">
      <w:pPr>
        <w:pStyle w:val="8"/>
        <w:spacing w:line="480" w:lineRule="exact"/>
        <w:ind w:firstLine="480" w:firstLineChars="200"/>
        <w:rPr>
          <w:rFonts w:ascii="Times New Roman"/>
          <w:bCs/>
          <w:sz w:val="24"/>
        </w:rPr>
      </w:pPr>
      <w:r>
        <w:rPr>
          <w:rFonts w:ascii="Times New Roman"/>
          <w:bCs/>
          <w:sz w:val="24"/>
        </w:rPr>
        <w:t>（3）测绘核验已建建筑占地面积，对照审批文件核实占地规模；</w:t>
      </w:r>
    </w:p>
    <w:p w14:paraId="37FFF0B8">
      <w:pPr>
        <w:pStyle w:val="8"/>
        <w:spacing w:line="480" w:lineRule="exact"/>
        <w:ind w:firstLine="480" w:firstLineChars="200"/>
        <w:rPr>
          <w:rFonts w:ascii="Times New Roman"/>
          <w:bCs/>
          <w:sz w:val="24"/>
        </w:rPr>
      </w:pPr>
      <w:r>
        <w:rPr>
          <w:rFonts w:ascii="Times New Roman"/>
          <w:bCs/>
          <w:sz w:val="24"/>
        </w:rPr>
        <w:t>（4）核验已建建筑退界（宅基地权属边界、相邻地块边界、道路控制线等），判定是否符合宅基地审批及相关管控要求；</w:t>
      </w:r>
    </w:p>
    <w:p w14:paraId="200A7265">
      <w:pPr>
        <w:pStyle w:val="8"/>
        <w:spacing w:line="480" w:lineRule="exact"/>
        <w:ind w:firstLine="480" w:firstLineChars="200"/>
        <w:rPr>
          <w:rFonts w:ascii="Times New Roman"/>
          <w:bCs/>
          <w:sz w:val="24"/>
        </w:rPr>
      </w:pPr>
      <w:r>
        <w:rPr>
          <w:rFonts w:ascii="Times New Roman"/>
          <w:bCs/>
          <w:sz w:val="24"/>
        </w:rPr>
        <w:t>（5）需要现场核验的其它验线内容。</w:t>
      </w:r>
    </w:p>
    <w:p w14:paraId="0256312D">
      <w:pPr>
        <w:pStyle w:val="8"/>
        <w:spacing w:line="480" w:lineRule="exact"/>
        <w:ind w:firstLine="480" w:firstLineChars="200"/>
        <w:rPr>
          <w:rFonts w:ascii="Times New Roman"/>
          <w:bCs/>
          <w:sz w:val="24"/>
        </w:rPr>
      </w:pPr>
      <w:r>
        <w:rPr>
          <w:rFonts w:ascii="Times New Roman"/>
          <w:bCs/>
          <w:sz w:val="24"/>
        </w:rPr>
        <w:t>3、实施形式</w:t>
      </w:r>
    </w:p>
    <w:p w14:paraId="68C81EB5">
      <w:pPr>
        <w:pStyle w:val="8"/>
        <w:spacing w:line="480" w:lineRule="exact"/>
        <w:ind w:firstLine="480" w:firstLineChars="200"/>
        <w:rPr>
          <w:rFonts w:ascii="Times New Roman"/>
          <w:bCs/>
          <w:sz w:val="24"/>
        </w:rPr>
      </w:pPr>
      <w:r>
        <w:rPr>
          <w:rFonts w:ascii="Times New Roman"/>
          <w:bCs/>
          <w:sz w:val="24"/>
        </w:rPr>
        <w:t>按照属地管理原则，对温江区各镇（街道）申报的农村宅基地建房项目实施定位验线测绘。农村宅基地建房项目动工建设前，采购人根据项目报送顺序派发任务，中选单位接收任务后赴项目现场，完成实地放样、外业测量及成果编制工作</w:t>
      </w:r>
    </w:p>
    <w:p w14:paraId="5CFC9E4A">
      <w:pPr>
        <w:jc w:val="left"/>
        <w:rPr>
          <w:b/>
          <w:bCs/>
          <w:sz w:val="28"/>
          <w:szCs w:val="28"/>
        </w:rPr>
      </w:pPr>
      <w:bookmarkStart w:id="203" w:name="_Toc23448"/>
      <w:r>
        <w:rPr>
          <w:b/>
          <w:bCs/>
          <w:sz w:val="28"/>
          <w:szCs w:val="28"/>
        </w:rPr>
        <w:t>二、成果要求</w:t>
      </w:r>
    </w:p>
    <w:p w14:paraId="6D9D4A85">
      <w:pPr>
        <w:widowControl/>
        <w:spacing w:after="120" w:line="278" w:lineRule="auto"/>
        <w:ind w:firstLine="720" w:firstLineChars="300"/>
        <w:jc w:val="left"/>
        <w:rPr>
          <w:bCs/>
          <w:kern w:val="0"/>
          <w:sz w:val="24"/>
          <w:szCs w:val="20"/>
        </w:rPr>
      </w:pPr>
      <w:r>
        <w:rPr>
          <w:bCs/>
          <w:kern w:val="0"/>
          <w:sz w:val="24"/>
          <w:szCs w:val="20"/>
        </w:rPr>
        <w:t>测绘成果由各镇街签字接收。</w:t>
      </w:r>
    </w:p>
    <w:p w14:paraId="4D6418F0">
      <w:pPr>
        <w:jc w:val="left"/>
        <w:rPr>
          <w:b/>
          <w:bCs/>
          <w:sz w:val="28"/>
          <w:szCs w:val="28"/>
        </w:rPr>
      </w:pPr>
      <w:r>
        <w:rPr>
          <w:b/>
          <w:bCs/>
          <w:sz w:val="28"/>
          <w:szCs w:val="28"/>
        </w:rPr>
        <w:t>三、期限要求</w:t>
      </w:r>
    </w:p>
    <w:p w14:paraId="6B802471">
      <w:pPr>
        <w:widowControl/>
        <w:spacing w:after="120" w:line="278" w:lineRule="auto"/>
        <w:ind w:firstLine="720" w:firstLineChars="300"/>
        <w:jc w:val="left"/>
        <w:rPr>
          <w:bCs/>
          <w:kern w:val="0"/>
          <w:sz w:val="24"/>
          <w:szCs w:val="20"/>
        </w:rPr>
      </w:pPr>
      <w:r>
        <w:rPr>
          <w:bCs/>
          <w:kern w:val="0"/>
          <w:sz w:val="24"/>
          <w:szCs w:val="20"/>
        </w:rPr>
        <w:t>具体时间要求以采购人最新要求为准。</w:t>
      </w:r>
    </w:p>
    <w:p w14:paraId="314DD4DD">
      <w:pPr>
        <w:jc w:val="left"/>
        <w:rPr>
          <w:b/>
          <w:bCs/>
          <w:sz w:val="28"/>
          <w:szCs w:val="28"/>
        </w:rPr>
      </w:pPr>
      <w:r>
        <w:rPr>
          <w:b/>
          <w:bCs/>
          <w:sz w:val="28"/>
          <w:szCs w:val="28"/>
        </w:rPr>
        <w:t>四、支付要求</w:t>
      </w:r>
    </w:p>
    <w:p w14:paraId="5D7C318E">
      <w:pPr>
        <w:widowControl/>
        <w:spacing w:after="120" w:line="278" w:lineRule="auto"/>
        <w:ind w:firstLine="720" w:firstLineChars="300"/>
        <w:jc w:val="left"/>
        <w:rPr>
          <w:bCs/>
          <w:kern w:val="0"/>
          <w:sz w:val="24"/>
          <w:szCs w:val="20"/>
        </w:rPr>
      </w:pPr>
      <w:r>
        <w:rPr>
          <w:bCs/>
          <w:kern w:val="0"/>
          <w:sz w:val="24"/>
          <w:szCs w:val="20"/>
        </w:rPr>
        <w:t>1、采购人每次支付前，中选人应当开具经税务部门认可的合法有效的等额发票，否则采购人有权迟延支付并不承担违约责任。</w:t>
      </w:r>
    </w:p>
    <w:p w14:paraId="395C2E4A">
      <w:pPr>
        <w:widowControl/>
        <w:spacing w:after="120" w:line="278" w:lineRule="auto"/>
        <w:ind w:firstLine="720" w:firstLineChars="300"/>
        <w:jc w:val="left"/>
        <w:rPr>
          <w:bCs/>
          <w:kern w:val="0"/>
          <w:sz w:val="24"/>
          <w:szCs w:val="20"/>
        </w:rPr>
      </w:pPr>
      <w:r>
        <w:rPr>
          <w:bCs/>
          <w:kern w:val="0"/>
          <w:sz w:val="24"/>
          <w:szCs w:val="20"/>
        </w:rPr>
        <w:t>2、支付时间及支付比例由双方在合同中具体约定。</w:t>
      </w:r>
    </w:p>
    <w:p w14:paraId="67E78E7B">
      <w:pPr>
        <w:jc w:val="left"/>
        <w:rPr>
          <w:b/>
          <w:bCs/>
          <w:sz w:val="28"/>
          <w:szCs w:val="28"/>
        </w:rPr>
      </w:pPr>
      <w:r>
        <w:rPr>
          <w:b/>
          <w:bCs/>
          <w:sz w:val="28"/>
          <w:szCs w:val="28"/>
        </w:rPr>
        <w:t>五、技术要求</w:t>
      </w:r>
    </w:p>
    <w:p w14:paraId="67D97C5B">
      <w:pPr>
        <w:widowControl/>
        <w:spacing w:after="120" w:line="278" w:lineRule="auto"/>
        <w:ind w:firstLine="720" w:firstLineChars="300"/>
        <w:jc w:val="left"/>
        <w:rPr>
          <w:bCs/>
          <w:kern w:val="0"/>
          <w:sz w:val="24"/>
          <w:szCs w:val="20"/>
        </w:rPr>
      </w:pPr>
      <w:r>
        <w:rPr>
          <w:bCs/>
          <w:kern w:val="0"/>
          <w:sz w:val="24"/>
          <w:szCs w:val="20"/>
        </w:rPr>
        <w:t>（1）单个验线测绘项目应在收到采购人通知后5个工作日内完成现场测绘、成果编制，并提交正式定位验线成果资料；</w:t>
      </w:r>
    </w:p>
    <w:p w14:paraId="3920E328">
      <w:pPr>
        <w:widowControl/>
        <w:spacing w:after="120" w:line="278" w:lineRule="auto"/>
        <w:ind w:firstLine="720" w:firstLineChars="300"/>
        <w:jc w:val="left"/>
        <w:rPr>
          <w:bCs/>
          <w:kern w:val="0"/>
          <w:sz w:val="24"/>
          <w:szCs w:val="20"/>
        </w:rPr>
      </w:pPr>
      <w:r>
        <w:rPr>
          <w:bCs/>
          <w:kern w:val="0"/>
          <w:sz w:val="24"/>
          <w:szCs w:val="20"/>
        </w:rPr>
        <w:t>（2）严格按照国家、省市现行测绘规范、《成都市温江区规范农村宅基地审批和住房建设管理实施细则》以及项目宅基地审批文件开展定位验线测绘作业；</w:t>
      </w:r>
    </w:p>
    <w:p w14:paraId="34DE4970">
      <w:pPr>
        <w:widowControl/>
        <w:spacing w:after="120" w:line="278" w:lineRule="auto"/>
        <w:ind w:firstLine="720" w:firstLineChars="300"/>
        <w:jc w:val="left"/>
        <w:rPr>
          <w:bCs/>
          <w:kern w:val="0"/>
          <w:sz w:val="24"/>
          <w:szCs w:val="20"/>
        </w:rPr>
      </w:pPr>
      <w:r>
        <w:rPr>
          <w:bCs/>
          <w:kern w:val="0"/>
          <w:sz w:val="24"/>
          <w:szCs w:val="20"/>
        </w:rPr>
        <w:t>（3）外业现场实测、实地放样，确保坐标、边界点位成果真实，测绘数据精准；</w:t>
      </w:r>
    </w:p>
    <w:p w14:paraId="72BEC6E6">
      <w:pPr>
        <w:widowControl/>
        <w:spacing w:after="120" w:line="278" w:lineRule="auto"/>
        <w:ind w:firstLine="720" w:firstLineChars="300"/>
        <w:jc w:val="left"/>
        <w:rPr>
          <w:bCs/>
          <w:kern w:val="0"/>
          <w:sz w:val="24"/>
          <w:szCs w:val="20"/>
        </w:rPr>
      </w:pPr>
      <w:r>
        <w:rPr>
          <w:bCs/>
          <w:kern w:val="0"/>
          <w:sz w:val="24"/>
          <w:szCs w:val="20"/>
        </w:rPr>
        <w:t>（4）对出具全部定位验线测绘成果资料的真实性、准确性承担全部责任；</w:t>
      </w:r>
    </w:p>
    <w:p w14:paraId="4772CF22">
      <w:pPr>
        <w:widowControl/>
        <w:spacing w:after="120" w:line="278" w:lineRule="auto"/>
        <w:ind w:firstLine="720" w:firstLineChars="300"/>
        <w:jc w:val="left"/>
        <w:rPr>
          <w:bCs/>
          <w:kern w:val="0"/>
          <w:sz w:val="24"/>
          <w:szCs w:val="20"/>
        </w:rPr>
      </w:pPr>
      <w:r>
        <w:rPr>
          <w:bCs/>
          <w:kern w:val="0"/>
          <w:sz w:val="24"/>
          <w:szCs w:val="20"/>
        </w:rPr>
        <w:t>（5）外业作业全过程落实安全生产管理，做好人员、仪器设备安全防护，本项目履约实施期间，所发生的全部安全事故，均由中选单位自行处置并承担全部责任。</w:t>
      </w:r>
    </w:p>
    <w:p w14:paraId="5E6AE646">
      <w:pPr>
        <w:jc w:val="left"/>
        <w:rPr>
          <w:b/>
          <w:bCs/>
          <w:sz w:val="28"/>
          <w:szCs w:val="28"/>
        </w:rPr>
      </w:pPr>
      <w:r>
        <w:rPr>
          <w:b/>
          <w:bCs/>
          <w:sz w:val="28"/>
          <w:szCs w:val="28"/>
        </w:rPr>
        <w:t>六、安全责任</w:t>
      </w:r>
    </w:p>
    <w:p w14:paraId="3995765B">
      <w:pPr>
        <w:widowControl/>
        <w:spacing w:after="120" w:line="278" w:lineRule="auto"/>
        <w:ind w:firstLine="720" w:firstLineChars="300"/>
        <w:jc w:val="left"/>
        <w:rPr>
          <w:rFonts w:eastAsia="仿宋_GB2312"/>
          <w:b w:val="0"/>
          <w:color w:val="FF0000"/>
          <w:kern w:val="0"/>
          <w:sz w:val="28"/>
          <w:szCs w:val="28"/>
        </w:rPr>
      </w:pPr>
      <w:r>
        <w:rPr>
          <w:bCs/>
          <w:kern w:val="0"/>
          <w:sz w:val="24"/>
          <w:szCs w:val="20"/>
        </w:rPr>
        <w:t>中选人及其工作人员在履行本合同过程中发生的安全事故，由中选人自行处理并承担相应责任。</w:t>
      </w:r>
      <w:r>
        <w:rPr>
          <w:rFonts w:eastAsia="仿宋_GB2312"/>
          <w:b w:val="0"/>
          <w:color w:val="FF0000"/>
          <w:kern w:val="0"/>
          <w:sz w:val="28"/>
          <w:szCs w:val="28"/>
        </w:rPr>
        <w:br w:type="page"/>
      </w:r>
    </w:p>
    <w:p w14:paraId="157DE553">
      <w:pPr>
        <w:pStyle w:val="2"/>
        <w:rPr>
          <w:rFonts w:eastAsiaTheme="minorEastAsia"/>
        </w:rPr>
      </w:pPr>
      <w:bookmarkStart w:id="204" w:name="_Toc27773"/>
      <w:r>
        <w:rPr>
          <w:rFonts w:eastAsiaTheme="minorEastAsia"/>
        </w:rPr>
        <w:t>第四章  评选办法</w:t>
      </w:r>
      <w:bookmarkEnd w:id="203"/>
      <w:bookmarkEnd w:id="204"/>
    </w:p>
    <w:p w14:paraId="6C54DC8E">
      <w:pPr>
        <w:topLinePunct/>
        <w:spacing w:line="360" w:lineRule="auto"/>
        <w:ind w:firstLine="482" w:firstLineChars="200"/>
        <w:jc w:val="left"/>
        <w:rPr>
          <w:rFonts w:eastAsiaTheme="minorEastAsia"/>
          <w:b/>
          <w:bCs/>
          <w:kern w:val="0"/>
          <w:sz w:val="24"/>
        </w:rPr>
      </w:pPr>
      <w:r>
        <w:rPr>
          <w:rFonts w:eastAsiaTheme="minorEastAsia"/>
          <w:b/>
          <w:bCs/>
          <w:kern w:val="0"/>
          <w:sz w:val="24"/>
        </w:rPr>
        <w:t>一、总则</w:t>
      </w:r>
    </w:p>
    <w:p w14:paraId="25966AB8">
      <w:pPr>
        <w:topLinePunct/>
        <w:spacing w:line="360" w:lineRule="auto"/>
        <w:ind w:firstLine="480" w:firstLineChars="200"/>
        <w:rPr>
          <w:rFonts w:eastAsiaTheme="minorEastAsia"/>
          <w:kern w:val="0"/>
          <w:sz w:val="24"/>
        </w:rPr>
      </w:pPr>
      <w:r>
        <w:rPr>
          <w:rFonts w:eastAsiaTheme="minorEastAsia"/>
          <w:kern w:val="0"/>
          <w:sz w:val="24"/>
        </w:rPr>
        <w:t>（一）本评选活动遵循公平、公正、科学、择优的原则。</w:t>
      </w:r>
    </w:p>
    <w:p w14:paraId="68813D30">
      <w:pPr>
        <w:topLinePunct/>
        <w:spacing w:line="360" w:lineRule="auto"/>
        <w:ind w:firstLine="480" w:firstLineChars="200"/>
        <w:rPr>
          <w:rFonts w:eastAsiaTheme="minorEastAsia"/>
          <w:kern w:val="0"/>
          <w:sz w:val="24"/>
        </w:rPr>
      </w:pPr>
      <w:r>
        <w:rPr>
          <w:rFonts w:eastAsiaTheme="minorEastAsia"/>
          <w:kern w:val="0"/>
          <w:sz w:val="24"/>
        </w:rPr>
        <w:t>（二）本次比选活动采取</w:t>
      </w:r>
      <w:r>
        <w:rPr>
          <w:rFonts w:eastAsiaTheme="minorEastAsia"/>
          <w:b/>
          <w:bCs/>
          <w:kern w:val="0"/>
          <w:sz w:val="24"/>
        </w:rPr>
        <w:t>综合评分法</w:t>
      </w:r>
      <w:r>
        <w:rPr>
          <w:rFonts w:eastAsiaTheme="minorEastAsia"/>
          <w:kern w:val="0"/>
          <w:sz w:val="24"/>
        </w:rPr>
        <w:t>进行评选。</w:t>
      </w:r>
    </w:p>
    <w:p w14:paraId="55A860A1">
      <w:pPr>
        <w:topLinePunct/>
        <w:spacing w:line="360" w:lineRule="auto"/>
        <w:ind w:firstLine="480" w:firstLineChars="200"/>
        <w:rPr>
          <w:rFonts w:eastAsiaTheme="minorEastAsia"/>
          <w:kern w:val="0"/>
          <w:sz w:val="24"/>
        </w:rPr>
      </w:pPr>
      <w:r>
        <w:rPr>
          <w:rFonts w:eastAsiaTheme="minorEastAsia"/>
          <w:kern w:val="0"/>
          <w:sz w:val="24"/>
        </w:rPr>
        <w:t>（三）综合评分法：评审小组将根据本评选标准和方法，对参加比选的单位进行系统评审和比较。综合评分得分最高的前三名的单位为中选候选人，如果综合得分相同，则抽签确定。</w:t>
      </w:r>
    </w:p>
    <w:p w14:paraId="40AFEA2D">
      <w:pPr>
        <w:topLinePunct/>
        <w:spacing w:line="360" w:lineRule="auto"/>
        <w:ind w:firstLine="482" w:firstLineChars="200"/>
        <w:jc w:val="left"/>
        <w:rPr>
          <w:rFonts w:eastAsiaTheme="minorEastAsia"/>
          <w:b/>
          <w:bCs/>
          <w:kern w:val="0"/>
          <w:sz w:val="24"/>
        </w:rPr>
      </w:pPr>
      <w:r>
        <w:rPr>
          <w:rFonts w:eastAsiaTheme="minorEastAsia"/>
          <w:b/>
          <w:bCs/>
          <w:kern w:val="0"/>
          <w:sz w:val="24"/>
        </w:rPr>
        <w:t>二、评审小组</w:t>
      </w:r>
    </w:p>
    <w:p w14:paraId="61F4C1C6">
      <w:pPr>
        <w:topLinePunct/>
        <w:spacing w:line="360" w:lineRule="auto"/>
        <w:ind w:firstLine="480" w:firstLineChars="200"/>
        <w:rPr>
          <w:rFonts w:eastAsiaTheme="minorEastAsia"/>
          <w:kern w:val="0"/>
          <w:sz w:val="24"/>
        </w:rPr>
      </w:pPr>
      <w:r>
        <w:rPr>
          <w:rFonts w:eastAsiaTheme="minorEastAsia"/>
          <w:kern w:val="0"/>
          <w:sz w:val="24"/>
        </w:rPr>
        <w:t>（一）本次评审小组由采购人推荐人员组成。</w:t>
      </w:r>
    </w:p>
    <w:p w14:paraId="09B3BAED">
      <w:pPr>
        <w:topLinePunct/>
        <w:spacing w:line="360" w:lineRule="auto"/>
        <w:ind w:firstLine="480" w:firstLineChars="200"/>
        <w:rPr>
          <w:rFonts w:eastAsiaTheme="minorEastAsia"/>
          <w:kern w:val="0"/>
          <w:sz w:val="24"/>
        </w:rPr>
      </w:pPr>
      <w:r>
        <w:rPr>
          <w:rFonts w:eastAsiaTheme="minorEastAsia"/>
          <w:kern w:val="0"/>
          <w:sz w:val="24"/>
        </w:rPr>
        <w:t>（二）本次评选活动监督由比选单位负责，监督员将对评选活动的全过程进行监督。</w:t>
      </w:r>
    </w:p>
    <w:p w14:paraId="3EBDCBD0">
      <w:pPr>
        <w:topLinePunct/>
        <w:spacing w:line="360" w:lineRule="auto"/>
        <w:ind w:firstLine="480" w:firstLineChars="200"/>
        <w:rPr>
          <w:rFonts w:eastAsiaTheme="minorEastAsia"/>
          <w:kern w:val="0"/>
          <w:sz w:val="24"/>
        </w:rPr>
      </w:pPr>
      <w:r>
        <w:rPr>
          <w:rFonts w:eastAsiaTheme="minorEastAsia"/>
          <w:kern w:val="0"/>
          <w:sz w:val="24"/>
        </w:rPr>
        <w:t>（三）评审小组将按资格审查、综合评审、推荐中选人的程序开展评审工作。</w:t>
      </w:r>
    </w:p>
    <w:p w14:paraId="283335C5">
      <w:pPr>
        <w:topLinePunct/>
        <w:spacing w:line="360" w:lineRule="auto"/>
        <w:ind w:firstLine="482" w:firstLineChars="200"/>
        <w:jc w:val="left"/>
        <w:rPr>
          <w:rFonts w:eastAsiaTheme="minorEastAsia"/>
          <w:b/>
          <w:bCs/>
          <w:kern w:val="0"/>
          <w:sz w:val="24"/>
        </w:rPr>
      </w:pPr>
      <w:r>
        <w:rPr>
          <w:rFonts w:eastAsiaTheme="minorEastAsia"/>
          <w:b/>
          <w:bCs/>
          <w:kern w:val="0"/>
          <w:sz w:val="24"/>
        </w:rPr>
        <w:t>三、综合评分法</w:t>
      </w:r>
    </w:p>
    <w:p w14:paraId="477A78CB">
      <w:pPr>
        <w:topLinePunct/>
        <w:spacing w:line="360" w:lineRule="auto"/>
        <w:ind w:firstLine="482" w:firstLineChars="200"/>
        <w:jc w:val="left"/>
        <w:rPr>
          <w:rFonts w:eastAsiaTheme="minorEastAsia"/>
          <w:b/>
          <w:bCs/>
          <w:kern w:val="0"/>
          <w:sz w:val="24"/>
        </w:rPr>
      </w:pPr>
      <w:r>
        <w:rPr>
          <w:rFonts w:eastAsiaTheme="minorEastAsia"/>
          <w:b/>
          <w:bCs/>
          <w:kern w:val="0"/>
          <w:sz w:val="24"/>
        </w:rPr>
        <w:t>（一）资格审查</w:t>
      </w:r>
    </w:p>
    <w:p w14:paraId="0EB46571">
      <w:pPr>
        <w:topLinePunct/>
        <w:spacing w:line="360" w:lineRule="auto"/>
        <w:ind w:firstLine="480" w:firstLineChars="200"/>
        <w:rPr>
          <w:rFonts w:eastAsiaTheme="minorEastAsia"/>
          <w:kern w:val="0"/>
          <w:sz w:val="24"/>
        </w:rPr>
      </w:pPr>
      <w:r>
        <w:rPr>
          <w:rFonts w:eastAsiaTheme="minorEastAsia"/>
          <w:kern w:val="0"/>
          <w:sz w:val="24"/>
        </w:rPr>
        <w:t>按照第二章申请人资格条件要求进行资格审查，符合资格审查的申请人方能进入综合评审程序。</w:t>
      </w:r>
    </w:p>
    <w:p w14:paraId="67FD5F96">
      <w:pPr>
        <w:topLinePunct/>
        <w:spacing w:line="360" w:lineRule="auto"/>
        <w:ind w:firstLine="482" w:firstLineChars="200"/>
        <w:jc w:val="left"/>
        <w:rPr>
          <w:rFonts w:eastAsiaTheme="minorEastAsia"/>
          <w:b/>
          <w:bCs/>
          <w:kern w:val="0"/>
          <w:sz w:val="24"/>
        </w:rPr>
      </w:pPr>
      <w:r>
        <w:rPr>
          <w:rFonts w:eastAsiaTheme="minorEastAsia"/>
          <w:b/>
          <w:bCs/>
          <w:kern w:val="0"/>
          <w:sz w:val="24"/>
        </w:rPr>
        <w:t>（二）综合评审</w:t>
      </w:r>
    </w:p>
    <w:p w14:paraId="15E17A49">
      <w:pPr>
        <w:topLinePunct/>
        <w:spacing w:line="360" w:lineRule="auto"/>
        <w:ind w:firstLine="480" w:firstLineChars="200"/>
        <w:rPr>
          <w:rFonts w:eastAsiaTheme="minorEastAsia"/>
          <w:kern w:val="0"/>
          <w:sz w:val="24"/>
        </w:rPr>
      </w:pPr>
      <w:r>
        <w:rPr>
          <w:rFonts w:eastAsiaTheme="minorEastAsia"/>
          <w:kern w:val="0"/>
          <w:sz w:val="24"/>
        </w:rPr>
        <w:t>对资格审查合格申请人的比选申请文件进行综合评审，综合评审按照下表的评分标准进行打分：</w:t>
      </w:r>
    </w:p>
    <w:tbl>
      <w:tblPr>
        <w:tblStyle w:val="18"/>
        <w:tblW w:w="4850" w:type="pct"/>
        <w:jc w:val="center"/>
        <w:tblLayout w:type="autofit"/>
        <w:tblCellMar>
          <w:top w:w="0" w:type="dxa"/>
          <w:left w:w="108" w:type="dxa"/>
          <w:bottom w:w="0" w:type="dxa"/>
          <w:right w:w="108" w:type="dxa"/>
        </w:tblCellMar>
      </w:tblPr>
      <w:tblGrid>
        <w:gridCol w:w="851"/>
        <w:gridCol w:w="1134"/>
        <w:gridCol w:w="993"/>
        <w:gridCol w:w="5811"/>
      </w:tblGrid>
      <w:tr w14:paraId="53568013">
        <w:tblPrEx>
          <w:tblCellMar>
            <w:top w:w="0" w:type="dxa"/>
            <w:left w:w="108" w:type="dxa"/>
            <w:bottom w:w="0" w:type="dxa"/>
            <w:right w:w="108" w:type="dxa"/>
          </w:tblCellMar>
        </w:tblPrEx>
        <w:trPr>
          <w:trHeight w:val="285" w:hRule="atLeast"/>
          <w:jc w:val="center"/>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69228ADC">
            <w:pPr>
              <w:widowControl/>
              <w:jc w:val="center"/>
              <w:rPr>
                <w:b/>
                <w:bCs/>
                <w:kern w:val="0"/>
                <w:sz w:val="24"/>
              </w:rPr>
            </w:pPr>
            <w:r>
              <w:rPr>
                <w:b/>
                <w:bCs/>
                <w:kern w:val="0"/>
                <w:sz w:val="24"/>
              </w:rPr>
              <w:t>序号</w:t>
            </w:r>
          </w:p>
        </w:tc>
        <w:tc>
          <w:tcPr>
            <w:tcW w:w="645" w:type="pct"/>
            <w:tcBorders>
              <w:top w:val="single" w:color="auto" w:sz="4" w:space="0"/>
              <w:left w:val="nil"/>
              <w:bottom w:val="single" w:color="auto" w:sz="4" w:space="0"/>
              <w:right w:val="single" w:color="auto" w:sz="4" w:space="0"/>
            </w:tcBorders>
            <w:shd w:val="clear" w:color="auto" w:fill="auto"/>
            <w:vAlign w:val="center"/>
          </w:tcPr>
          <w:p w14:paraId="3CF2A034">
            <w:pPr>
              <w:widowControl/>
              <w:jc w:val="center"/>
              <w:rPr>
                <w:b/>
                <w:bCs/>
                <w:kern w:val="0"/>
                <w:sz w:val="24"/>
              </w:rPr>
            </w:pPr>
            <w:r>
              <w:rPr>
                <w:b/>
                <w:bCs/>
                <w:kern w:val="0"/>
                <w:sz w:val="24"/>
              </w:rPr>
              <w:t>评分项</w:t>
            </w:r>
          </w:p>
        </w:tc>
        <w:tc>
          <w:tcPr>
            <w:tcW w:w="565" w:type="pct"/>
            <w:tcBorders>
              <w:top w:val="single" w:color="auto" w:sz="4" w:space="0"/>
              <w:left w:val="nil"/>
              <w:bottom w:val="single" w:color="auto" w:sz="4" w:space="0"/>
              <w:right w:val="single" w:color="auto" w:sz="4" w:space="0"/>
            </w:tcBorders>
            <w:shd w:val="clear" w:color="auto" w:fill="auto"/>
            <w:vAlign w:val="center"/>
          </w:tcPr>
          <w:p w14:paraId="37C06BEB">
            <w:pPr>
              <w:widowControl/>
              <w:jc w:val="center"/>
              <w:rPr>
                <w:b/>
                <w:bCs/>
                <w:kern w:val="0"/>
                <w:sz w:val="24"/>
              </w:rPr>
            </w:pPr>
            <w:r>
              <w:rPr>
                <w:b/>
                <w:bCs/>
                <w:kern w:val="0"/>
                <w:sz w:val="24"/>
              </w:rPr>
              <w:t>分值</w:t>
            </w:r>
          </w:p>
        </w:tc>
        <w:tc>
          <w:tcPr>
            <w:tcW w:w="3306" w:type="pct"/>
            <w:tcBorders>
              <w:top w:val="single" w:color="auto" w:sz="4" w:space="0"/>
              <w:left w:val="nil"/>
              <w:bottom w:val="single" w:color="auto" w:sz="4" w:space="0"/>
              <w:right w:val="single" w:color="auto" w:sz="4" w:space="0"/>
            </w:tcBorders>
            <w:shd w:val="clear" w:color="auto" w:fill="auto"/>
            <w:vAlign w:val="center"/>
          </w:tcPr>
          <w:p w14:paraId="6D697AC2">
            <w:pPr>
              <w:widowControl/>
              <w:jc w:val="center"/>
              <w:rPr>
                <w:b/>
                <w:bCs/>
                <w:kern w:val="0"/>
                <w:sz w:val="24"/>
              </w:rPr>
            </w:pPr>
            <w:r>
              <w:rPr>
                <w:b/>
                <w:bCs/>
                <w:kern w:val="0"/>
                <w:sz w:val="24"/>
              </w:rPr>
              <w:t>内  容</w:t>
            </w:r>
          </w:p>
        </w:tc>
      </w:tr>
      <w:tr w14:paraId="325259B3">
        <w:tblPrEx>
          <w:tblCellMar>
            <w:top w:w="0" w:type="dxa"/>
            <w:left w:w="108" w:type="dxa"/>
            <w:bottom w:w="0" w:type="dxa"/>
            <w:right w:w="108" w:type="dxa"/>
          </w:tblCellMar>
        </w:tblPrEx>
        <w:trPr>
          <w:trHeight w:val="1060" w:hRule="atLeast"/>
          <w:jc w:val="center"/>
        </w:trPr>
        <w:tc>
          <w:tcPr>
            <w:tcW w:w="484" w:type="pct"/>
            <w:tcBorders>
              <w:top w:val="nil"/>
              <w:left w:val="single" w:color="auto" w:sz="4" w:space="0"/>
              <w:bottom w:val="single" w:color="auto" w:sz="4" w:space="0"/>
              <w:right w:val="single" w:color="auto" w:sz="4" w:space="0"/>
            </w:tcBorders>
            <w:shd w:val="clear" w:color="auto" w:fill="auto"/>
            <w:vAlign w:val="center"/>
          </w:tcPr>
          <w:p w14:paraId="63D4FD03">
            <w:pPr>
              <w:widowControl/>
              <w:jc w:val="center"/>
              <w:rPr>
                <w:kern w:val="0"/>
                <w:sz w:val="24"/>
              </w:rPr>
            </w:pPr>
            <w:r>
              <w:rPr>
                <w:kern w:val="0"/>
                <w:sz w:val="24"/>
              </w:rPr>
              <w:t>1</w:t>
            </w:r>
          </w:p>
        </w:tc>
        <w:tc>
          <w:tcPr>
            <w:tcW w:w="645" w:type="pct"/>
            <w:tcBorders>
              <w:top w:val="nil"/>
              <w:left w:val="nil"/>
              <w:bottom w:val="single" w:color="auto" w:sz="4" w:space="0"/>
              <w:right w:val="single" w:color="auto" w:sz="4" w:space="0"/>
            </w:tcBorders>
            <w:shd w:val="clear" w:color="auto" w:fill="auto"/>
            <w:vAlign w:val="center"/>
          </w:tcPr>
          <w:p w14:paraId="2E91FDA2">
            <w:pPr>
              <w:widowControl/>
              <w:jc w:val="center"/>
              <w:rPr>
                <w:kern w:val="0"/>
                <w:sz w:val="24"/>
              </w:rPr>
            </w:pPr>
            <w:r>
              <w:rPr>
                <w:kern w:val="0"/>
                <w:sz w:val="24"/>
              </w:rPr>
              <w:t>报价</w:t>
            </w:r>
          </w:p>
        </w:tc>
        <w:tc>
          <w:tcPr>
            <w:tcW w:w="565" w:type="pct"/>
            <w:tcBorders>
              <w:top w:val="nil"/>
              <w:left w:val="nil"/>
              <w:bottom w:val="single" w:color="auto" w:sz="4" w:space="0"/>
              <w:right w:val="single" w:color="auto" w:sz="4" w:space="0"/>
            </w:tcBorders>
            <w:shd w:val="clear" w:color="auto" w:fill="auto"/>
            <w:vAlign w:val="center"/>
          </w:tcPr>
          <w:p w14:paraId="2C595FCF">
            <w:pPr>
              <w:widowControl/>
              <w:jc w:val="center"/>
              <w:rPr>
                <w:kern w:val="0"/>
                <w:sz w:val="24"/>
              </w:rPr>
            </w:pPr>
            <w:r>
              <w:rPr>
                <w:kern w:val="0"/>
                <w:sz w:val="24"/>
              </w:rPr>
              <w:t>30分</w:t>
            </w:r>
          </w:p>
        </w:tc>
        <w:tc>
          <w:tcPr>
            <w:tcW w:w="3306" w:type="pct"/>
            <w:tcBorders>
              <w:top w:val="nil"/>
              <w:left w:val="nil"/>
              <w:bottom w:val="single" w:color="auto" w:sz="4" w:space="0"/>
              <w:right w:val="single" w:color="auto" w:sz="4" w:space="0"/>
            </w:tcBorders>
            <w:shd w:val="clear" w:color="auto" w:fill="auto"/>
            <w:vAlign w:val="center"/>
          </w:tcPr>
          <w:p w14:paraId="0023892C">
            <w:pPr>
              <w:widowControl/>
              <w:spacing w:line="360" w:lineRule="auto"/>
              <w:rPr>
                <w:kern w:val="0"/>
                <w:sz w:val="24"/>
              </w:rPr>
            </w:pPr>
            <w:r>
              <w:rPr>
                <w:kern w:val="0"/>
                <w:sz w:val="24"/>
              </w:rPr>
              <w:t>以评审基准价为准，经评审的有效报价等于基准价的得满分，经评审的有效报价低于基准价的，每低1%扣0.3分，经评审的有效报价高于基准价的，每高1%扣0.5分。</w:t>
            </w:r>
          </w:p>
          <w:p w14:paraId="6947F16D">
            <w:pPr>
              <w:widowControl/>
              <w:spacing w:line="360" w:lineRule="auto"/>
              <w:rPr>
                <w:kern w:val="0"/>
                <w:sz w:val="24"/>
              </w:rPr>
            </w:pPr>
            <w:r>
              <w:rPr>
                <w:kern w:val="0"/>
                <w:sz w:val="24"/>
              </w:rPr>
              <w:t>注：1.采用经评审的有效报价（经通过资格和符合性审查的响应报价；报价有修正的，以修正后的价格为准）的算术平均值为评审基准价，计算公式为：S（评审基准价）=（a1+……+an）/n，a为有效的响应报价。</w:t>
            </w:r>
          </w:p>
          <w:p w14:paraId="04DBBC32">
            <w:pPr>
              <w:widowControl/>
              <w:spacing w:line="360" w:lineRule="auto"/>
              <w:rPr>
                <w:kern w:val="0"/>
                <w:sz w:val="24"/>
              </w:rPr>
            </w:pPr>
            <w:r>
              <w:rPr>
                <w:kern w:val="0"/>
                <w:sz w:val="24"/>
              </w:rPr>
              <w:t>2.偏差率=|有效比选的评审价-评审基准价|/评审基准价×100%（小数点后保留2位，小数点后第3位四舍五入）。</w:t>
            </w:r>
          </w:p>
          <w:p w14:paraId="35B65956">
            <w:pPr>
              <w:widowControl/>
              <w:spacing w:line="360" w:lineRule="auto"/>
              <w:rPr>
                <w:kern w:val="0"/>
                <w:sz w:val="24"/>
                <w:highlight w:val="yellow"/>
              </w:rPr>
            </w:pPr>
            <w:r>
              <w:rPr>
                <w:kern w:val="0"/>
                <w:sz w:val="24"/>
              </w:rPr>
              <w:t>3.中间值用插入法进行计算，小数点后四舍五入保留两位。</w:t>
            </w:r>
          </w:p>
        </w:tc>
      </w:tr>
      <w:tr w14:paraId="4CFF7D96">
        <w:tblPrEx>
          <w:tblCellMar>
            <w:top w:w="0" w:type="dxa"/>
            <w:left w:w="108" w:type="dxa"/>
            <w:bottom w:w="0" w:type="dxa"/>
            <w:right w:w="108" w:type="dxa"/>
          </w:tblCellMar>
        </w:tblPrEx>
        <w:trPr>
          <w:trHeight w:val="1060" w:hRule="atLeast"/>
          <w:jc w:val="center"/>
        </w:trPr>
        <w:tc>
          <w:tcPr>
            <w:tcW w:w="484" w:type="pct"/>
            <w:tcBorders>
              <w:top w:val="nil"/>
              <w:left w:val="single" w:color="auto" w:sz="4" w:space="0"/>
              <w:bottom w:val="single" w:color="auto" w:sz="4" w:space="0"/>
              <w:right w:val="single" w:color="auto" w:sz="4" w:space="0"/>
            </w:tcBorders>
            <w:shd w:val="clear" w:color="auto" w:fill="auto"/>
            <w:vAlign w:val="center"/>
          </w:tcPr>
          <w:p w14:paraId="79D57BEA">
            <w:pPr>
              <w:widowControl/>
              <w:jc w:val="center"/>
              <w:rPr>
                <w:kern w:val="0"/>
                <w:sz w:val="24"/>
              </w:rPr>
            </w:pPr>
            <w:r>
              <w:rPr>
                <w:kern w:val="0"/>
                <w:sz w:val="24"/>
              </w:rPr>
              <w:t>2</w:t>
            </w:r>
          </w:p>
        </w:tc>
        <w:tc>
          <w:tcPr>
            <w:tcW w:w="645" w:type="pct"/>
            <w:tcBorders>
              <w:top w:val="nil"/>
              <w:left w:val="nil"/>
              <w:bottom w:val="single" w:color="auto" w:sz="4" w:space="0"/>
              <w:right w:val="single" w:color="auto" w:sz="4" w:space="0"/>
            </w:tcBorders>
            <w:shd w:val="clear" w:color="auto" w:fill="auto"/>
            <w:vAlign w:val="center"/>
          </w:tcPr>
          <w:p w14:paraId="3379CDE9">
            <w:pPr>
              <w:widowControl/>
              <w:jc w:val="center"/>
              <w:rPr>
                <w:kern w:val="0"/>
                <w:sz w:val="24"/>
              </w:rPr>
            </w:pPr>
            <w:r>
              <w:rPr>
                <w:kern w:val="0"/>
                <w:sz w:val="24"/>
              </w:rPr>
              <w:t>人员</w:t>
            </w:r>
          </w:p>
          <w:p w14:paraId="41B6F693">
            <w:pPr>
              <w:widowControl/>
              <w:jc w:val="center"/>
              <w:rPr>
                <w:kern w:val="0"/>
                <w:sz w:val="24"/>
              </w:rPr>
            </w:pPr>
            <w:r>
              <w:rPr>
                <w:kern w:val="0"/>
                <w:sz w:val="24"/>
              </w:rPr>
              <w:t>配置</w:t>
            </w:r>
          </w:p>
        </w:tc>
        <w:tc>
          <w:tcPr>
            <w:tcW w:w="565" w:type="pct"/>
            <w:tcBorders>
              <w:top w:val="nil"/>
              <w:left w:val="nil"/>
              <w:bottom w:val="single" w:color="auto" w:sz="4" w:space="0"/>
              <w:right w:val="single" w:color="auto" w:sz="4" w:space="0"/>
            </w:tcBorders>
            <w:shd w:val="clear" w:color="auto" w:fill="auto"/>
            <w:vAlign w:val="center"/>
          </w:tcPr>
          <w:p w14:paraId="3EB90C44">
            <w:pPr>
              <w:widowControl/>
              <w:jc w:val="center"/>
              <w:rPr>
                <w:kern w:val="0"/>
                <w:sz w:val="24"/>
              </w:rPr>
            </w:pPr>
            <w:r>
              <w:rPr>
                <w:kern w:val="0"/>
                <w:sz w:val="24"/>
              </w:rPr>
              <w:t>20分</w:t>
            </w:r>
          </w:p>
        </w:tc>
        <w:tc>
          <w:tcPr>
            <w:tcW w:w="3306" w:type="pct"/>
            <w:tcBorders>
              <w:top w:val="nil"/>
              <w:left w:val="nil"/>
              <w:bottom w:val="single" w:color="auto" w:sz="4" w:space="0"/>
              <w:right w:val="single" w:color="auto" w:sz="4" w:space="0"/>
            </w:tcBorders>
            <w:shd w:val="clear" w:color="auto" w:fill="auto"/>
            <w:vAlign w:val="center"/>
          </w:tcPr>
          <w:p w14:paraId="76EFDB30">
            <w:pPr>
              <w:widowControl/>
              <w:spacing w:line="360" w:lineRule="auto"/>
              <w:rPr>
                <w:kern w:val="0"/>
                <w:sz w:val="24"/>
              </w:rPr>
            </w:pPr>
            <w:r>
              <w:rPr>
                <w:kern w:val="0"/>
                <w:sz w:val="24"/>
              </w:rPr>
              <w:t>1.投入本项目的人员在4人及以上，均具有技术职称，其中1人为项目负责人。满足以上条件的得基础分4分，投入本项目的人员每增加1人加1分，最多加3分。本项最多得7分。</w:t>
            </w:r>
          </w:p>
          <w:p w14:paraId="16E8EF09">
            <w:pPr>
              <w:widowControl/>
              <w:spacing w:line="360" w:lineRule="auto"/>
              <w:rPr>
                <w:kern w:val="0"/>
                <w:sz w:val="24"/>
              </w:rPr>
            </w:pPr>
            <w:r>
              <w:rPr>
                <w:kern w:val="0"/>
                <w:sz w:val="24"/>
              </w:rPr>
              <w:t>2.项目负责人具有注册测绘师资格证书的得4分，技术负责人具有</w:t>
            </w:r>
            <w:r>
              <w:rPr>
                <w:rFonts w:hint="eastAsia"/>
                <w:kern w:val="0"/>
                <w:sz w:val="24"/>
              </w:rPr>
              <w:t>测绘</w:t>
            </w:r>
            <w:r>
              <w:rPr>
                <w:kern w:val="0"/>
                <w:sz w:val="24"/>
              </w:rPr>
              <w:t>类中级（或以上）技术职称的得3分，最多得7分。</w:t>
            </w:r>
          </w:p>
          <w:p w14:paraId="4B28E816">
            <w:pPr>
              <w:widowControl/>
              <w:spacing w:line="360" w:lineRule="auto"/>
              <w:rPr>
                <w:kern w:val="0"/>
                <w:sz w:val="24"/>
              </w:rPr>
            </w:pPr>
            <w:r>
              <w:rPr>
                <w:kern w:val="0"/>
                <w:sz w:val="24"/>
              </w:rPr>
              <w:t>4.项目组其他成员（除项目负责人和技术负责人）具有中级（或以上）职称的，每有1人得2分；最多得6分。</w:t>
            </w:r>
          </w:p>
          <w:p w14:paraId="47F46249">
            <w:pPr>
              <w:widowControl/>
              <w:spacing w:line="360" w:lineRule="auto"/>
              <w:rPr>
                <w:rFonts w:eastAsia="黑体"/>
                <w:kern w:val="0"/>
                <w:sz w:val="24"/>
              </w:rPr>
            </w:pPr>
            <w:r>
              <w:rPr>
                <w:rFonts w:eastAsia="黑体"/>
                <w:kern w:val="0"/>
                <w:sz w:val="24"/>
              </w:rPr>
              <w:t>注</w:t>
            </w:r>
            <w:r>
              <w:rPr>
                <w:kern w:val="0"/>
                <w:sz w:val="24"/>
              </w:rPr>
              <w:t>:</w:t>
            </w:r>
            <w:r>
              <w:rPr>
                <w:rFonts w:eastAsia="黑体"/>
                <w:kern w:val="0"/>
                <w:sz w:val="24"/>
              </w:rPr>
              <w:t>以上人员不重复计分，需提供有效证书复印件及所投单位劳动关系证明材料复印件并加盖供应商鲜章。</w:t>
            </w:r>
          </w:p>
        </w:tc>
      </w:tr>
      <w:tr w14:paraId="2D5020F0">
        <w:tblPrEx>
          <w:tblCellMar>
            <w:top w:w="0" w:type="dxa"/>
            <w:left w:w="108" w:type="dxa"/>
            <w:bottom w:w="0" w:type="dxa"/>
            <w:right w:w="108" w:type="dxa"/>
          </w:tblCellMar>
        </w:tblPrEx>
        <w:trPr>
          <w:trHeight w:val="1829" w:hRule="atLeast"/>
          <w:jc w:val="center"/>
        </w:trPr>
        <w:tc>
          <w:tcPr>
            <w:tcW w:w="484" w:type="pct"/>
            <w:vMerge w:val="restart"/>
            <w:tcBorders>
              <w:top w:val="nil"/>
              <w:left w:val="single" w:color="auto" w:sz="4" w:space="0"/>
              <w:right w:val="single" w:color="auto" w:sz="4" w:space="0"/>
            </w:tcBorders>
            <w:shd w:val="clear" w:color="auto" w:fill="auto"/>
            <w:vAlign w:val="center"/>
          </w:tcPr>
          <w:p w14:paraId="297006C4">
            <w:pPr>
              <w:jc w:val="center"/>
              <w:rPr>
                <w:kern w:val="0"/>
                <w:sz w:val="24"/>
              </w:rPr>
            </w:pPr>
            <w:r>
              <w:rPr>
                <w:kern w:val="0"/>
                <w:sz w:val="24"/>
              </w:rPr>
              <w:t>3</w:t>
            </w:r>
          </w:p>
        </w:tc>
        <w:tc>
          <w:tcPr>
            <w:tcW w:w="645" w:type="pct"/>
            <w:vMerge w:val="restart"/>
            <w:tcBorders>
              <w:top w:val="nil"/>
              <w:left w:val="nil"/>
              <w:right w:val="single" w:color="auto" w:sz="4" w:space="0"/>
            </w:tcBorders>
            <w:shd w:val="clear" w:color="auto" w:fill="auto"/>
            <w:vAlign w:val="center"/>
          </w:tcPr>
          <w:p w14:paraId="5DEC347F">
            <w:pPr>
              <w:jc w:val="center"/>
              <w:rPr>
                <w:kern w:val="0"/>
                <w:sz w:val="24"/>
              </w:rPr>
            </w:pPr>
            <w:r>
              <w:rPr>
                <w:kern w:val="0"/>
                <w:sz w:val="24"/>
              </w:rPr>
              <w:t>项目服务方案</w:t>
            </w:r>
          </w:p>
        </w:tc>
        <w:tc>
          <w:tcPr>
            <w:tcW w:w="565" w:type="pct"/>
            <w:tcBorders>
              <w:top w:val="nil"/>
              <w:left w:val="nil"/>
              <w:bottom w:val="single" w:color="auto" w:sz="4" w:space="0"/>
              <w:right w:val="single" w:color="auto" w:sz="4" w:space="0"/>
            </w:tcBorders>
            <w:shd w:val="clear" w:color="auto" w:fill="auto"/>
            <w:vAlign w:val="center"/>
          </w:tcPr>
          <w:p w14:paraId="0F7D3B3E">
            <w:pPr>
              <w:widowControl/>
              <w:jc w:val="center"/>
              <w:rPr>
                <w:kern w:val="0"/>
                <w:sz w:val="24"/>
              </w:rPr>
            </w:pPr>
            <w:r>
              <w:rPr>
                <w:kern w:val="0"/>
                <w:sz w:val="24"/>
              </w:rPr>
              <w:t>技术</w:t>
            </w:r>
          </w:p>
          <w:p w14:paraId="4E660FDF">
            <w:pPr>
              <w:widowControl/>
              <w:jc w:val="center"/>
              <w:rPr>
                <w:kern w:val="0"/>
                <w:sz w:val="24"/>
              </w:rPr>
            </w:pPr>
            <w:r>
              <w:rPr>
                <w:kern w:val="0"/>
                <w:sz w:val="24"/>
              </w:rPr>
              <w:t>方案20分</w:t>
            </w:r>
          </w:p>
        </w:tc>
        <w:tc>
          <w:tcPr>
            <w:tcW w:w="3306" w:type="pct"/>
            <w:tcBorders>
              <w:top w:val="nil"/>
              <w:left w:val="nil"/>
              <w:bottom w:val="single" w:color="auto" w:sz="4" w:space="0"/>
              <w:right w:val="single" w:color="auto" w:sz="4" w:space="0"/>
            </w:tcBorders>
            <w:shd w:val="clear" w:color="auto" w:fill="auto"/>
            <w:vAlign w:val="center"/>
          </w:tcPr>
          <w:p w14:paraId="6337BEAA">
            <w:pPr>
              <w:spacing w:line="360" w:lineRule="auto"/>
              <w:rPr>
                <w:kern w:val="0"/>
                <w:sz w:val="24"/>
              </w:rPr>
            </w:pPr>
            <w:r>
              <w:rPr>
                <w:kern w:val="0"/>
                <w:sz w:val="24"/>
              </w:rPr>
              <w:t>技术要求完全满足采购文件要求，技术方案单项内容无缺陷、无遗漏得4分，共20分；方案存在内容简略、个别细节不完善等轻微瑕疵，扣2分；每一项内容存在不满足采购文件要求的扣3分；单项内容出现存在虚假资料测绘规范错误、技术路线错误、成果逻辑严重矛盾的，本项得分0。</w:t>
            </w:r>
          </w:p>
          <w:p w14:paraId="2F316D0E">
            <w:pPr>
              <w:spacing w:line="360" w:lineRule="auto"/>
              <w:rPr>
                <w:szCs w:val="21"/>
              </w:rPr>
            </w:pPr>
            <w:r>
              <w:rPr>
                <w:rFonts w:eastAsia="黑体"/>
                <w:kern w:val="0"/>
                <w:sz w:val="24"/>
              </w:rPr>
              <w:t>注：本项目技术要求共5项，详见服务内容及要求。</w:t>
            </w:r>
          </w:p>
        </w:tc>
      </w:tr>
      <w:tr w14:paraId="6833021F">
        <w:tblPrEx>
          <w:tblCellMar>
            <w:top w:w="0" w:type="dxa"/>
            <w:left w:w="108" w:type="dxa"/>
            <w:bottom w:w="0" w:type="dxa"/>
            <w:right w:w="108" w:type="dxa"/>
          </w:tblCellMar>
        </w:tblPrEx>
        <w:trPr>
          <w:trHeight w:val="1425" w:hRule="atLeast"/>
          <w:jc w:val="center"/>
        </w:trPr>
        <w:tc>
          <w:tcPr>
            <w:tcW w:w="484" w:type="pct"/>
            <w:vMerge w:val="continue"/>
            <w:tcBorders>
              <w:left w:val="single" w:color="auto" w:sz="4" w:space="0"/>
              <w:right w:val="single" w:color="auto" w:sz="4" w:space="0"/>
            </w:tcBorders>
            <w:shd w:val="clear" w:color="auto" w:fill="auto"/>
            <w:vAlign w:val="center"/>
          </w:tcPr>
          <w:p w14:paraId="6ED281E9">
            <w:pPr>
              <w:widowControl/>
              <w:jc w:val="center"/>
              <w:rPr>
                <w:kern w:val="0"/>
                <w:sz w:val="24"/>
              </w:rPr>
            </w:pPr>
          </w:p>
        </w:tc>
        <w:tc>
          <w:tcPr>
            <w:tcW w:w="645" w:type="pct"/>
            <w:vMerge w:val="continue"/>
            <w:tcBorders>
              <w:left w:val="nil"/>
              <w:right w:val="single" w:color="auto" w:sz="4" w:space="0"/>
            </w:tcBorders>
            <w:shd w:val="clear" w:color="auto" w:fill="auto"/>
            <w:vAlign w:val="center"/>
          </w:tcPr>
          <w:p w14:paraId="433923A2">
            <w:pPr>
              <w:widowControl/>
              <w:jc w:val="center"/>
              <w:rPr>
                <w:kern w:val="0"/>
                <w:sz w:val="24"/>
              </w:rPr>
            </w:pPr>
          </w:p>
        </w:tc>
        <w:tc>
          <w:tcPr>
            <w:tcW w:w="565" w:type="pct"/>
            <w:tcBorders>
              <w:top w:val="nil"/>
              <w:left w:val="nil"/>
              <w:bottom w:val="single" w:color="auto" w:sz="4" w:space="0"/>
              <w:right w:val="single" w:color="auto" w:sz="4" w:space="0"/>
            </w:tcBorders>
            <w:shd w:val="clear" w:color="auto" w:fill="auto"/>
            <w:vAlign w:val="center"/>
          </w:tcPr>
          <w:p w14:paraId="590EFAC9">
            <w:pPr>
              <w:widowControl/>
              <w:jc w:val="center"/>
              <w:rPr>
                <w:kern w:val="0"/>
                <w:sz w:val="24"/>
              </w:rPr>
            </w:pPr>
            <w:r>
              <w:rPr>
                <w:kern w:val="0"/>
                <w:sz w:val="24"/>
              </w:rPr>
              <w:t>实施方案20分</w:t>
            </w:r>
          </w:p>
        </w:tc>
        <w:tc>
          <w:tcPr>
            <w:tcW w:w="3306" w:type="pct"/>
            <w:tcBorders>
              <w:top w:val="nil"/>
              <w:left w:val="nil"/>
              <w:bottom w:val="single" w:color="auto" w:sz="4" w:space="0"/>
              <w:right w:val="single" w:color="auto" w:sz="4" w:space="0"/>
            </w:tcBorders>
            <w:shd w:val="clear" w:color="auto" w:fill="auto"/>
            <w:vAlign w:val="center"/>
          </w:tcPr>
          <w:p w14:paraId="2483D71A">
            <w:pPr>
              <w:topLinePunct/>
              <w:spacing w:line="360" w:lineRule="auto"/>
              <w:jc w:val="left"/>
              <w:rPr>
                <w:kern w:val="0"/>
                <w:sz w:val="24"/>
              </w:rPr>
            </w:pPr>
            <w:r>
              <w:rPr>
                <w:kern w:val="0"/>
                <w:sz w:val="24"/>
              </w:rPr>
              <w:t>比选申请人编制的实施方案包括①项目总体实施组织思路；②项目任务接收、现场组织与多方协调方案；③成果资料校核、签收及交付方案④进度、质量控制措施；⑤安全生产及应急保障方案；以上五项内容每单项内容无缺项、无缺陷得4分，共20分；每有一项内容缺项扣4分；每项内容每有一处缺陷扣2分，单项内容分值扣完为止。（注：上述缺陷是内容凭空编造、存在无关的事项、内容不全面、套用其他项目方案、规范标准错误、项目地点错误、内容粗略、存在不可能实现的夸大情形以上任意一种情况）</w:t>
            </w:r>
          </w:p>
        </w:tc>
      </w:tr>
      <w:tr w14:paraId="51CE92EE">
        <w:tblPrEx>
          <w:tblCellMar>
            <w:top w:w="0" w:type="dxa"/>
            <w:left w:w="108" w:type="dxa"/>
            <w:bottom w:w="0" w:type="dxa"/>
            <w:right w:w="108" w:type="dxa"/>
          </w:tblCellMar>
        </w:tblPrEx>
        <w:trPr>
          <w:trHeight w:val="852" w:hRule="atLeast"/>
          <w:jc w:val="center"/>
        </w:trPr>
        <w:tc>
          <w:tcPr>
            <w:tcW w:w="484" w:type="pct"/>
            <w:tcBorders>
              <w:top w:val="nil"/>
              <w:left w:val="single" w:color="auto" w:sz="4" w:space="0"/>
              <w:bottom w:val="single" w:color="auto" w:sz="4" w:space="0"/>
              <w:right w:val="single" w:color="auto" w:sz="4" w:space="0"/>
            </w:tcBorders>
            <w:shd w:val="clear" w:color="auto" w:fill="auto"/>
            <w:vAlign w:val="center"/>
          </w:tcPr>
          <w:p w14:paraId="35F5C4C8">
            <w:pPr>
              <w:widowControl/>
              <w:jc w:val="center"/>
              <w:rPr>
                <w:kern w:val="0"/>
                <w:sz w:val="24"/>
              </w:rPr>
            </w:pPr>
            <w:r>
              <w:rPr>
                <w:kern w:val="0"/>
                <w:sz w:val="24"/>
              </w:rPr>
              <w:t>4</w:t>
            </w:r>
          </w:p>
        </w:tc>
        <w:tc>
          <w:tcPr>
            <w:tcW w:w="645" w:type="pct"/>
            <w:tcBorders>
              <w:top w:val="nil"/>
              <w:left w:val="nil"/>
              <w:bottom w:val="single" w:color="auto" w:sz="4" w:space="0"/>
              <w:right w:val="single" w:color="auto" w:sz="4" w:space="0"/>
            </w:tcBorders>
            <w:shd w:val="clear" w:color="auto" w:fill="auto"/>
            <w:vAlign w:val="center"/>
          </w:tcPr>
          <w:p w14:paraId="43408F39">
            <w:pPr>
              <w:widowControl/>
              <w:jc w:val="center"/>
              <w:rPr>
                <w:kern w:val="0"/>
                <w:sz w:val="24"/>
              </w:rPr>
            </w:pPr>
            <w:r>
              <w:rPr>
                <w:kern w:val="0"/>
                <w:sz w:val="24"/>
              </w:rPr>
              <w:t>文件</w:t>
            </w:r>
          </w:p>
          <w:p w14:paraId="16F2BA3B">
            <w:pPr>
              <w:widowControl/>
              <w:jc w:val="center"/>
              <w:rPr>
                <w:kern w:val="0"/>
                <w:sz w:val="24"/>
              </w:rPr>
            </w:pPr>
            <w:r>
              <w:rPr>
                <w:kern w:val="0"/>
                <w:sz w:val="24"/>
              </w:rPr>
              <w:t>规范性</w:t>
            </w:r>
          </w:p>
        </w:tc>
        <w:tc>
          <w:tcPr>
            <w:tcW w:w="565" w:type="pct"/>
            <w:tcBorders>
              <w:top w:val="nil"/>
              <w:left w:val="nil"/>
              <w:bottom w:val="single" w:color="auto" w:sz="4" w:space="0"/>
              <w:right w:val="single" w:color="auto" w:sz="4" w:space="0"/>
            </w:tcBorders>
            <w:shd w:val="clear" w:color="auto" w:fill="auto"/>
            <w:vAlign w:val="center"/>
          </w:tcPr>
          <w:p w14:paraId="7C05901D">
            <w:pPr>
              <w:widowControl/>
              <w:jc w:val="center"/>
              <w:rPr>
                <w:kern w:val="0"/>
                <w:sz w:val="24"/>
              </w:rPr>
            </w:pPr>
            <w:r>
              <w:rPr>
                <w:kern w:val="0"/>
                <w:sz w:val="24"/>
              </w:rPr>
              <w:t>10分</w:t>
            </w:r>
          </w:p>
        </w:tc>
        <w:tc>
          <w:tcPr>
            <w:tcW w:w="3306" w:type="pct"/>
            <w:tcBorders>
              <w:top w:val="nil"/>
              <w:left w:val="nil"/>
              <w:bottom w:val="single" w:color="auto" w:sz="4" w:space="0"/>
              <w:right w:val="single" w:color="auto" w:sz="4" w:space="0"/>
            </w:tcBorders>
            <w:shd w:val="clear" w:color="auto" w:fill="auto"/>
            <w:vAlign w:val="center"/>
          </w:tcPr>
          <w:p w14:paraId="098E8080">
            <w:pPr>
              <w:widowControl/>
              <w:rPr>
                <w:kern w:val="0"/>
                <w:sz w:val="24"/>
              </w:rPr>
            </w:pPr>
            <w:r>
              <w:rPr>
                <w:kern w:val="0"/>
                <w:sz w:val="24"/>
              </w:rPr>
              <w:t>投标文件制作规范，没有偏差情形的，得10分；有一项偏差扣1分，直至该项分值扣完为止。</w:t>
            </w:r>
          </w:p>
        </w:tc>
      </w:tr>
    </w:tbl>
    <w:p w14:paraId="6FB48E83">
      <w:pPr>
        <w:topLinePunct/>
        <w:spacing w:line="360" w:lineRule="auto"/>
        <w:ind w:firstLine="482" w:firstLineChars="200"/>
        <w:jc w:val="left"/>
        <w:rPr>
          <w:rFonts w:eastAsiaTheme="minorEastAsia"/>
          <w:b/>
          <w:bCs/>
          <w:kern w:val="0"/>
          <w:sz w:val="24"/>
        </w:rPr>
      </w:pPr>
      <w:r>
        <w:rPr>
          <w:rFonts w:eastAsiaTheme="minorEastAsia"/>
          <w:b/>
          <w:bCs/>
          <w:kern w:val="0"/>
          <w:sz w:val="24"/>
        </w:rPr>
        <w:t>（三）推荐中选人</w:t>
      </w:r>
    </w:p>
    <w:p w14:paraId="6DB00EBE">
      <w:pPr>
        <w:topLinePunct/>
        <w:spacing w:line="360" w:lineRule="auto"/>
        <w:ind w:firstLine="480" w:firstLineChars="200"/>
        <w:rPr>
          <w:rFonts w:eastAsiaTheme="minorEastAsia"/>
          <w:kern w:val="0"/>
          <w:sz w:val="24"/>
        </w:rPr>
      </w:pPr>
      <w:r>
        <w:rPr>
          <w:rFonts w:eastAsiaTheme="minorEastAsia"/>
          <w:kern w:val="0"/>
          <w:sz w:val="24"/>
        </w:rPr>
        <w:t>评审小组将根据比选申请人的最后得分从高到低进行排序，分数得分前三位的推荐为中选候选人。若综合得分相同，则报价低的单位中选，报价也相同，则抽签确定。</w:t>
      </w:r>
    </w:p>
    <w:p w14:paraId="373534DE">
      <w:pPr>
        <w:widowControl/>
        <w:jc w:val="left"/>
        <w:rPr>
          <w:rFonts w:eastAsiaTheme="minorEastAsia"/>
          <w:b/>
          <w:bCs/>
          <w:kern w:val="44"/>
          <w:sz w:val="32"/>
          <w:szCs w:val="44"/>
        </w:rPr>
      </w:pPr>
      <w:bookmarkStart w:id="205" w:name="_Toc16514"/>
      <w:bookmarkStart w:id="206" w:name="_Toc29105"/>
      <w:bookmarkStart w:id="207" w:name="_Toc16621"/>
      <w:r>
        <w:rPr>
          <w:rFonts w:eastAsiaTheme="minorEastAsia"/>
        </w:rPr>
        <w:br w:type="page"/>
      </w:r>
    </w:p>
    <w:p w14:paraId="79E82A21">
      <w:pPr>
        <w:pStyle w:val="2"/>
        <w:rPr>
          <w:rFonts w:eastAsiaTheme="minorEastAsia"/>
        </w:rPr>
      </w:pPr>
      <w:bookmarkStart w:id="208" w:name="_Toc13848"/>
      <w:bookmarkStart w:id="216" w:name="_GoBack"/>
      <w:bookmarkEnd w:id="216"/>
      <w:r>
        <w:rPr>
          <w:rFonts w:eastAsiaTheme="minorEastAsia"/>
        </w:rPr>
        <w:t>第五章  合同条款及格式</w:t>
      </w:r>
      <w:bookmarkEnd w:id="205"/>
      <w:bookmarkEnd w:id="206"/>
      <w:bookmarkEnd w:id="207"/>
      <w:bookmarkEnd w:id="208"/>
    </w:p>
    <w:p w14:paraId="01FE73A0">
      <w:pPr>
        <w:topLinePunct/>
        <w:spacing w:line="560" w:lineRule="exact"/>
        <w:jc w:val="center"/>
        <w:rPr>
          <w:rFonts w:eastAsiaTheme="minorEastAsia"/>
          <w:kern w:val="0"/>
          <w:sz w:val="28"/>
          <w:szCs w:val="28"/>
        </w:rPr>
      </w:pPr>
      <w:r>
        <w:rPr>
          <w:rFonts w:eastAsiaTheme="minorEastAsia"/>
          <w:kern w:val="0"/>
          <w:sz w:val="28"/>
          <w:szCs w:val="28"/>
        </w:rPr>
        <w:t>(以项目实际情况编制)</w:t>
      </w:r>
    </w:p>
    <w:p w14:paraId="2CB642B5">
      <w:pPr>
        <w:topLinePunct/>
        <w:spacing w:line="560" w:lineRule="exact"/>
        <w:jc w:val="center"/>
        <w:rPr>
          <w:rFonts w:eastAsiaTheme="minorEastAsia"/>
          <w:kern w:val="0"/>
          <w:sz w:val="28"/>
          <w:szCs w:val="28"/>
        </w:rPr>
      </w:pPr>
    </w:p>
    <w:p w14:paraId="0B58E88D">
      <w:pPr>
        <w:topLinePunct/>
        <w:spacing w:line="560" w:lineRule="exact"/>
        <w:jc w:val="center"/>
        <w:rPr>
          <w:rFonts w:eastAsiaTheme="minorEastAsia"/>
          <w:kern w:val="0"/>
          <w:sz w:val="28"/>
          <w:szCs w:val="28"/>
        </w:rPr>
      </w:pPr>
    </w:p>
    <w:p w14:paraId="1F9BE4EC">
      <w:pPr>
        <w:widowControl/>
        <w:jc w:val="left"/>
        <w:rPr>
          <w:rFonts w:eastAsiaTheme="minorEastAsia"/>
          <w:b/>
          <w:bCs/>
          <w:kern w:val="44"/>
          <w:sz w:val="32"/>
          <w:szCs w:val="44"/>
        </w:rPr>
      </w:pPr>
      <w:bookmarkStart w:id="209" w:name="_Toc25619"/>
      <w:bookmarkStart w:id="210" w:name="_Toc16788"/>
      <w:bookmarkStart w:id="211" w:name="_Toc7086"/>
      <w:bookmarkStart w:id="212" w:name="_Toc18195"/>
      <w:bookmarkStart w:id="213" w:name="_Toc23953"/>
      <w:r>
        <w:rPr>
          <w:rFonts w:eastAsiaTheme="minorEastAsia"/>
        </w:rPr>
        <w:br w:type="page"/>
      </w:r>
    </w:p>
    <w:p w14:paraId="113BBA89">
      <w:pPr>
        <w:pStyle w:val="2"/>
        <w:rPr>
          <w:rFonts w:eastAsiaTheme="minorEastAsia"/>
        </w:rPr>
      </w:pPr>
      <w:bookmarkStart w:id="214" w:name="_Toc27564"/>
      <w:r>
        <w:rPr>
          <w:rFonts w:eastAsiaTheme="minorEastAsia"/>
        </w:rPr>
        <w:t xml:space="preserve">第六章  </w:t>
      </w:r>
      <w:bookmarkEnd w:id="209"/>
      <w:bookmarkEnd w:id="210"/>
      <w:bookmarkEnd w:id="211"/>
      <w:bookmarkEnd w:id="212"/>
      <w:bookmarkEnd w:id="213"/>
      <w:r>
        <w:rPr>
          <w:rFonts w:eastAsiaTheme="minorEastAsia"/>
        </w:rPr>
        <w:t>比选申请文件格式</w:t>
      </w:r>
      <w:bookmarkEnd w:id="214"/>
    </w:p>
    <w:p w14:paraId="66807813">
      <w:pPr>
        <w:topLinePunct/>
        <w:spacing w:line="360" w:lineRule="auto"/>
        <w:jc w:val="center"/>
        <w:rPr>
          <w:rFonts w:eastAsiaTheme="minorEastAsia"/>
          <w:b/>
          <w:sz w:val="44"/>
          <w:szCs w:val="44"/>
        </w:rPr>
      </w:pPr>
    </w:p>
    <w:p w14:paraId="57AFEEA2">
      <w:pPr>
        <w:topLinePunct/>
        <w:spacing w:line="360" w:lineRule="auto"/>
        <w:jc w:val="center"/>
        <w:rPr>
          <w:rFonts w:eastAsiaTheme="minorEastAsia"/>
          <w:b/>
          <w:sz w:val="44"/>
          <w:szCs w:val="44"/>
        </w:rPr>
      </w:pPr>
      <w:r>
        <w:rPr>
          <w:rFonts w:eastAsiaTheme="minorEastAsia"/>
          <w:b/>
          <w:sz w:val="44"/>
          <w:szCs w:val="48"/>
        </w:rPr>
        <w:t>温江区2026年农村宅基地和住房定位验线服务项目</w:t>
      </w:r>
    </w:p>
    <w:p w14:paraId="6052FC8C">
      <w:pPr>
        <w:topLinePunct/>
        <w:spacing w:line="360" w:lineRule="auto"/>
        <w:jc w:val="center"/>
        <w:rPr>
          <w:rFonts w:eastAsiaTheme="minorEastAsia"/>
          <w:b/>
          <w:sz w:val="72"/>
          <w:szCs w:val="72"/>
        </w:rPr>
      </w:pPr>
    </w:p>
    <w:p w14:paraId="546C0029">
      <w:pPr>
        <w:topLinePunct/>
        <w:spacing w:line="360" w:lineRule="auto"/>
        <w:jc w:val="center"/>
        <w:rPr>
          <w:rFonts w:eastAsiaTheme="minorEastAsia"/>
          <w:b/>
          <w:sz w:val="72"/>
          <w:szCs w:val="72"/>
        </w:rPr>
      </w:pPr>
      <w:r>
        <w:rPr>
          <w:rFonts w:eastAsiaTheme="minorEastAsia"/>
          <w:b/>
          <w:sz w:val="72"/>
          <w:szCs w:val="72"/>
        </w:rPr>
        <w:t>比</w:t>
      </w:r>
    </w:p>
    <w:p w14:paraId="07482239">
      <w:pPr>
        <w:topLinePunct/>
        <w:spacing w:line="360" w:lineRule="auto"/>
        <w:jc w:val="center"/>
        <w:rPr>
          <w:rFonts w:eastAsiaTheme="minorEastAsia"/>
          <w:b/>
          <w:sz w:val="72"/>
          <w:szCs w:val="72"/>
        </w:rPr>
      </w:pPr>
      <w:r>
        <w:rPr>
          <w:rFonts w:eastAsiaTheme="minorEastAsia"/>
          <w:b/>
          <w:sz w:val="72"/>
          <w:szCs w:val="72"/>
        </w:rPr>
        <w:t>选</w:t>
      </w:r>
    </w:p>
    <w:p w14:paraId="1F928112">
      <w:pPr>
        <w:topLinePunct/>
        <w:spacing w:line="360" w:lineRule="auto"/>
        <w:jc w:val="center"/>
        <w:rPr>
          <w:rFonts w:eastAsiaTheme="minorEastAsia"/>
          <w:b/>
          <w:sz w:val="72"/>
          <w:szCs w:val="72"/>
        </w:rPr>
      </w:pPr>
      <w:r>
        <w:rPr>
          <w:rFonts w:eastAsiaTheme="minorEastAsia"/>
          <w:b/>
          <w:sz w:val="72"/>
          <w:szCs w:val="72"/>
        </w:rPr>
        <w:t>申</w:t>
      </w:r>
    </w:p>
    <w:p w14:paraId="68F9D4A3">
      <w:pPr>
        <w:topLinePunct/>
        <w:spacing w:line="360" w:lineRule="auto"/>
        <w:jc w:val="center"/>
        <w:rPr>
          <w:rFonts w:eastAsiaTheme="minorEastAsia"/>
          <w:b/>
          <w:sz w:val="72"/>
          <w:szCs w:val="72"/>
        </w:rPr>
      </w:pPr>
      <w:r>
        <w:rPr>
          <w:rFonts w:eastAsiaTheme="minorEastAsia"/>
          <w:b/>
          <w:sz w:val="72"/>
          <w:szCs w:val="72"/>
        </w:rPr>
        <w:t>请</w:t>
      </w:r>
    </w:p>
    <w:p w14:paraId="4E78877E">
      <w:pPr>
        <w:topLinePunct/>
        <w:spacing w:line="360" w:lineRule="auto"/>
        <w:jc w:val="center"/>
        <w:rPr>
          <w:rFonts w:eastAsiaTheme="minorEastAsia"/>
          <w:b/>
          <w:sz w:val="72"/>
          <w:szCs w:val="72"/>
        </w:rPr>
      </w:pPr>
      <w:r>
        <w:rPr>
          <w:rFonts w:eastAsiaTheme="minorEastAsia"/>
          <w:b/>
          <w:sz w:val="72"/>
          <w:szCs w:val="72"/>
        </w:rPr>
        <w:t>文</w:t>
      </w:r>
    </w:p>
    <w:p w14:paraId="45342914">
      <w:pPr>
        <w:topLinePunct/>
        <w:spacing w:line="360" w:lineRule="auto"/>
        <w:jc w:val="center"/>
        <w:rPr>
          <w:rFonts w:eastAsiaTheme="minorEastAsia"/>
          <w:b/>
          <w:sz w:val="72"/>
          <w:szCs w:val="72"/>
        </w:rPr>
      </w:pPr>
      <w:r>
        <w:rPr>
          <w:rFonts w:eastAsiaTheme="minorEastAsia"/>
          <w:b/>
          <w:sz w:val="72"/>
          <w:szCs w:val="72"/>
        </w:rPr>
        <w:t>件</w:t>
      </w:r>
    </w:p>
    <w:p w14:paraId="6E4F8F1F">
      <w:pPr>
        <w:topLinePunct/>
        <w:spacing w:line="360" w:lineRule="auto"/>
        <w:jc w:val="center"/>
        <w:rPr>
          <w:rFonts w:eastAsiaTheme="minorEastAsia"/>
          <w:sz w:val="44"/>
          <w:szCs w:val="44"/>
        </w:rPr>
      </w:pPr>
    </w:p>
    <w:p w14:paraId="79332D5D">
      <w:pPr>
        <w:topLinePunct/>
        <w:spacing w:line="360" w:lineRule="auto"/>
        <w:rPr>
          <w:rFonts w:eastAsiaTheme="minorEastAsia"/>
          <w:sz w:val="44"/>
          <w:szCs w:val="44"/>
        </w:rPr>
      </w:pPr>
    </w:p>
    <w:p w14:paraId="37B313F7">
      <w:pPr>
        <w:topLinePunct/>
        <w:spacing w:line="360" w:lineRule="auto"/>
        <w:rPr>
          <w:rFonts w:eastAsiaTheme="minorEastAsia"/>
          <w:sz w:val="44"/>
          <w:szCs w:val="44"/>
        </w:rPr>
      </w:pPr>
    </w:p>
    <w:p w14:paraId="4DB5216D">
      <w:pPr>
        <w:topLinePunct/>
        <w:spacing w:line="360" w:lineRule="auto"/>
        <w:rPr>
          <w:rFonts w:eastAsiaTheme="minorEastAsia"/>
          <w:sz w:val="44"/>
          <w:szCs w:val="44"/>
        </w:rPr>
      </w:pPr>
    </w:p>
    <w:p w14:paraId="7249E38B">
      <w:pPr>
        <w:topLinePunct/>
        <w:spacing w:line="360" w:lineRule="auto"/>
        <w:ind w:firstLine="1920" w:firstLineChars="600"/>
        <w:rPr>
          <w:rFonts w:eastAsiaTheme="minorEastAsia"/>
          <w:sz w:val="32"/>
          <w:szCs w:val="32"/>
        </w:rPr>
      </w:pPr>
      <w:r>
        <w:rPr>
          <w:rFonts w:eastAsiaTheme="minorEastAsia"/>
          <w:sz w:val="32"/>
          <w:szCs w:val="32"/>
        </w:rPr>
        <w:t>比选申请人：</w:t>
      </w:r>
      <w:r>
        <w:rPr>
          <w:rFonts w:eastAsiaTheme="minorEastAsia"/>
          <w:sz w:val="32"/>
          <w:szCs w:val="32"/>
          <w:u w:val="single"/>
        </w:rPr>
        <w:t xml:space="preserve">                       </w:t>
      </w:r>
    </w:p>
    <w:p w14:paraId="780E46C3">
      <w:pPr>
        <w:topLinePunct/>
        <w:spacing w:line="360" w:lineRule="auto"/>
        <w:rPr>
          <w:rFonts w:eastAsiaTheme="minorEastAsia"/>
          <w:sz w:val="32"/>
          <w:szCs w:val="32"/>
          <w:u w:val="single"/>
        </w:rPr>
      </w:pPr>
    </w:p>
    <w:p w14:paraId="165B4BB2">
      <w:pPr>
        <w:topLinePunct/>
        <w:spacing w:line="360" w:lineRule="auto"/>
        <w:ind w:firstLine="1920" w:firstLineChars="600"/>
        <w:rPr>
          <w:rFonts w:eastAsiaTheme="minorEastAsia"/>
          <w:sz w:val="32"/>
          <w:szCs w:val="32"/>
        </w:rPr>
      </w:pPr>
      <w:r>
        <w:rPr>
          <w:rFonts w:eastAsiaTheme="minorEastAsia"/>
          <w:sz w:val="32"/>
          <w:szCs w:val="32"/>
          <w:u w:val="single"/>
        </w:rPr>
        <w:t xml:space="preserve">      </w:t>
      </w:r>
      <w:r>
        <w:rPr>
          <w:rFonts w:eastAsiaTheme="minorEastAsia"/>
          <w:sz w:val="32"/>
          <w:szCs w:val="32"/>
        </w:rPr>
        <w:t>年</w:t>
      </w:r>
      <w:r>
        <w:rPr>
          <w:rFonts w:eastAsiaTheme="minorEastAsia"/>
          <w:sz w:val="32"/>
          <w:szCs w:val="32"/>
          <w:u w:val="single"/>
        </w:rPr>
        <w:t xml:space="preserve">      </w:t>
      </w:r>
      <w:r>
        <w:rPr>
          <w:rFonts w:eastAsiaTheme="minorEastAsia"/>
          <w:sz w:val="32"/>
          <w:szCs w:val="32"/>
        </w:rPr>
        <w:t>月</w:t>
      </w:r>
      <w:r>
        <w:rPr>
          <w:rFonts w:eastAsiaTheme="minorEastAsia"/>
          <w:sz w:val="32"/>
          <w:szCs w:val="32"/>
          <w:u w:val="single"/>
        </w:rPr>
        <w:t xml:space="preserve">      </w:t>
      </w:r>
      <w:r>
        <w:rPr>
          <w:rFonts w:eastAsiaTheme="minorEastAsia"/>
          <w:sz w:val="32"/>
          <w:szCs w:val="32"/>
        </w:rPr>
        <w:t>日</w:t>
      </w:r>
    </w:p>
    <w:p w14:paraId="142EE8E2">
      <w:pPr>
        <w:topLinePunct/>
        <w:spacing w:line="360" w:lineRule="auto"/>
        <w:jc w:val="center"/>
        <w:rPr>
          <w:rFonts w:eastAsiaTheme="minorEastAsia"/>
          <w:bCs/>
          <w:sz w:val="28"/>
          <w:szCs w:val="28"/>
        </w:rPr>
      </w:pPr>
    </w:p>
    <w:p w14:paraId="0CA29DBB">
      <w:pPr>
        <w:topLinePunct/>
        <w:spacing w:line="360" w:lineRule="auto"/>
        <w:jc w:val="center"/>
        <w:rPr>
          <w:rFonts w:eastAsiaTheme="minorEastAsia"/>
          <w:bCs/>
          <w:sz w:val="28"/>
          <w:szCs w:val="28"/>
        </w:rPr>
      </w:pPr>
      <w:r>
        <w:rPr>
          <w:rFonts w:eastAsiaTheme="minorEastAsia"/>
          <w:bCs/>
          <w:sz w:val="28"/>
          <w:szCs w:val="28"/>
        </w:rPr>
        <w:t>一、比选申请函</w:t>
      </w:r>
    </w:p>
    <w:p w14:paraId="2D889D2E">
      <w:pPr>
        <w:topLinePunct/>
        <w:spacing w:line="360" w:lineRule="auto"/>
        <w:rPr>
          <w:rFonts w:eastAsiaTheme="minorEastAsia"/>
          <w:sz w:val="28"/>
          <w:szCs w:val="28"/>
        </w:rPr>
      </w:pPr>
    </w:p>
    <w:p w14:paraId="3B5542C3">
      <w:pPr>
        <w:topLinePunct/>
        <w:spacing w:line="360" w:lineRule="auto"/>
        <w:rPr>
          <w:rFonts w:eastAsiaTheme="minorEastAsia"/>
          <w:sz w:val="28"/>
          <w:szCs w:val="28"/>
        </w:rPr>
      </w:pPr>
      <w:r>
        <w:rPr>
          <w:rFonts w:eastAsiaTheme="minorEastAsia"/>
          <w:b/>
          <w:sz w:val="32"/>
          <w:szCs w:val="32"/>
        </w:rPr>
        <w:t>成都市温江区规划和自然资源局</w:t>
      </w:r>
      <w:r>
        <w:rPr>
          <w:rFonts w:eastAsiaTheme="minorEastAsia"/>
          <w:sz w:val="28"/>
          <w:szCs w:val="28"/>
        </w:rPr>
        <w:t>：</w:t>
      </w:r>
    </w:p>
    <w:p w14:paraId="5E5D2D85">
      <w:pPr>
        <w:topLinePunct/>
        <w:spacing w:line="360" w:lineRule="auto"/>
        <w:ind w:firstLine="700" w:firstLineChars="250"/>
        <w:jc w:val="left"/>
        <w:rPr>
          <w:rFonts w:eastAsiaTheme="minorEastAsia"/>
          <w:sz w:val="28"/>
          <w:szCs w:val="28"/>
        </w:rPr>
      </w:pPr>
      <w:r>
        <w:rPr>
          <w:rFonts w:eastAsiaTheme="minorEastAsia"/>
          <w:sz w:val="28"/>
          <w:szCs w:val="28"/>
        </w:rPr>
        <w:t>一、我方在全面研究了</w:t>
      </w:r>
      <w:bookmarkStart w:id="215" w:name="_Hlk17894586"/>
      <w:r>
        <w:rPr>
          <w:rFonts w:eastAsiaTheme="minorEastAsia"/>
          <w:sz w:val="28"/>
          <w:szCs w:val="28"/>
        </w:rPr>
        <w:t>成都市温江区规划和自然资源局2026年农村宅基地和住房定位验线服务项目比选文件</w:t>
      </w:r>
      <w:bookmarkEnd w:id="215"/>
      <w:r>
        <w:rPr>
          <w:rFonts w:eastAsiaTheme="minorEastAsia"/>
          <w:sz w:val="28"/>
          <w:szCs w:val="28"/>
        </w:rPr>
        <w:t>后，我方自愿按照比选文件规定的各项要求向采购人提供所需服务。</w:t>
      </w:r>
    </w:p>
    <w:p w14:paraId="21CCE957">
      <w:pPr>
        <w:topLinePunct/>
        <w:spacing w:line="360" w:lineRule="auto"/>
        <w:ind w:firstLine="700" w:firstLineChars="250"/>
        <w:jc w:val="left"/>
        <w:rPr>
          <w:rFonts w:eastAsiaTheme="minorEastAsia"/>
          <w:sz w:val="28"/>
          <w:szCs w:val="28"/>
        </w:rPr>
      </w:pPr>
      <w:r>
        <w:rPr>
          <w:rFonts w:eastAsiaTheme="minorEastAsia"/>
          <w:sz w:val="28"/>
          <w:szCs w:val="28"/>
        </w:rPr>
        <w:t>二、一旦我方中选，我方将严格履行合同规定的责任和义务，保证于合同签字生效后在</w:t>
      </w:r>
      <w:r>
        <w:rPr>
          <w:rFonts w:eastAsiaTheme="minorEastAsia"/>
          <w:b/>
          <w:sz w:val="28"/>
          <w:szCs w:val="28"/>
          <w:u w:val="single"/>
        </w:rPr>
        <w:t>采购人要求的时间内</w:t>
      </w:r>
      <w:r>
        <w:rPr>
          <w:rFonts w:eastAsiaTheme="minorEastAsia"/>
          <w:sz w:val="28"/>
          <w:szCs w:val="28"/>
        </w:rPr>
        <w:t>完成本项目全部工作。</w:t>
      </w:r>
    </w:p>
    <w:p w14:paraId="1B3CD7D6">
      <w:pPr>
        <w:topLinePunct/>
        <w:spacing w:line="360" w:lineRule="auto"/>
        <w:ind w:firstLine="700" w:firstLineChars="250"/>
        <w:jc w:val="left"/>
        <w:rPr>
          <w:rFonts w:eastAsiaTheme="minorEastAsia"/>
          <w:sz w:val="28"/>
          <w:szCs w:val="28"/>
        </w:rPr>
      </w:pPr>
      <w:r>
        <w:rPr>
          <w:rFonts w:eastAsiaTheme="minorEastAsia"/>
          <w:sz w:val="28"/>
          <w:szCs w:val="28"/>
        </w:rPr>
        <w:t>三、我方为本项目提交的比选申请文件正本</w:t>
      </w:r>
      <w:r>
        <w:rPr>
          <w:rFonts w:eastAsiaTheme="minorEastAsia"/>
          <w:sz w:val="28"/>
          <w:szCs w:val="28"/>
          <w:u w:val="single"/>
        </w:rPr>
        <w:t>1</w:t>
      </w:r>
      <w:r>
        <w:rPr>
          <w:rFonts w:eastAsiaTheme="minorEastAsia"/>
          <w:sz w:val="28"/>
          <w:szCs w:val="28"/>
        </w:rPr>
        <w:t>份。</w:t>
      </w:r>
    </w:p>
    <w:p w14:paraId="00B49F32">
      <w:pPr>
        <w:topLinePunct/>
        <w:spacing w:line="360" w:lineRule="auto"/>
        <w:ind w:firstLine="700" w:firstLineChars="250"/>
        <w:jc w:val="left"/>
        <w:rPr>
          <w:rFonts w:eastAsiaTheme="minorEastAsia"/>
          <w:sz w:val="28"/>
          <w:szCs w:val="28"/>
        </w:rPr>
      </w:pPr>
      <w:r>
        <w:rPr>
          <w:rFonts w:eastAsiaTheme="minorEastAsia"/>
          <w:sz w:val="28"/>
          <w:szCs w:val="28"/>
        </w:rPr>
        <w:t>四、我方愿意提供贵单位可能另外要求的，与比选有关的文件资料，并保证我方已提供和将要提供的文件资料是真实、准确的。</w:t>
      </w:r>
    </w:p>
    <w:p w14:paraId="436EF7CD">
      <w:pPr>
        <w:topLinePunct/>
        <w:spacing w:line="360" w:lineRule="auto"/>
        <w:ind w:firstLine="705" w:firstLineChars="252"/>
        <w:jc w:val="left"/>
        <w:rPr>
          <w:rFonts w:eastAsiaTheme="minorEastAsia"/>
          <w:sz w:val="28"/>
          <w:szCs w:val="28"/>
        </w:rPr>
      </w:pPr>
      <w:r>
        <w:rPr>
          <w:rFonts w:eastAsiaTheme="minorEastAsia"/>
          <w:sz w:val="28"/>
          <w:szCs w:val="28"/>
        </w:rPr>
        <w:t>五、本比选申请人知道并同意：如果接到中选通知书后未按贵单位要求的时间签订正式合同或坚持提出附加条件，贵单位有权选择其他比选申请人为中选人。</w:t>
      </w:r>
    </w:p>
    <w:p w14:paraId="0D3F2C72">
      <w:pPr>
        <w:topLinePunct/>
        <w:spacing w:line="360" w:lineRule="auto"/>
        <w:ind w:firstLine="770" w:firstLineChars="275"/>
        <w:jc w:val="left"/>
        <w:rPr>
          <w:rFonts w:eastAsiaTheme="minorEastAsia"/>
          <w:sz w:val="28"/>
          <w:szCs w:val="28"/>
        </w:rPr>
      </w:pPr>
      <w:r>
        <w:rPr>
          <w:rFonts w:eastAsiaTheme="minorEastAsia"/>
          <w:sz w:val="28"/>
          <w:szCs w:val="28"/>
        </w:rPr>
        <w:t>六、本比选申请人郑重承诺：按采购人要求做好后期服务。</w:t>
      </w:r>
    </w:p>
    <w:p w14:paraId="79AA2C98">
      <w:pPr>
        <w:topLinePunct/>
        <w:spacing w:line="360" w:lineRule="auto"/>
        <w:ind w:firstLine="3360" w:firstLineChars="1200"/>
        <w:jc w:val="left"/>
        <w:rPr>
          <w:rFonts w:hint="eastAsia" w:eastAsiaTheme="minorEastAsia"/>
          <w:sz w:val="28"/>
          <w:szCs w:val="28"/>
        </w:rPr>
      </w:pPr>
    </w:p>
    <w:p w14:paraId="047DABB3">
      <w:pPr>
        <w:topLinePunct/>
        <w:spacing w:line="360" w:lineRule="auto"/>
        <w:ind w:firstLine="3360" w:firstLineChars="1200"/>
        <w:jc w:val="left"/>
        <w:rPr>
          <w:rFonts w:eastAsiaTheme="minorEastAsia"/>
          <w:sz w:val="28"/>
          <w:szCs w:val="28"/>
        </w:rPr>
      </w:pPr>
    </w:p>
    <w:p w14:paraId="151BE012">
      <w:pPr>
        <w:topLinePunct/>
        <w:spacing w:line="360" w:lineRule="auto"/>
        <w:jc w:val="left"/>
        <w:rPr>
          <w:rFonts w:eastAsiaTheme="minorEastAsia"/>
          <w:sz w:val="28"/>
          <w:szCs w:val="28"/>
        </w:rPr>
      </w:pPr>
      <w:r>
        <w:rPr>
          <w:rFonts w:eastAsiaTheme="minorEastAsia"/>
          <w:sz w:val="28"/>
          <w:szCs w:val="28"/>
        </w:rPr>
        <w:t>比选申请人：</w:t>
      </w:r>
      <w:r>
        <w:rPr>
          <w:rFonts w:eastAsiaTheme="minorEastAsia"/>
          <w:sz w:val="28"/>
          <w:szCs w:val="28"/>
          <w:u w:val="single"/>
        </w:rPr>
        <w:t xml:space="preserve">                              </w:t>
      </w:r>
      <w:r>
        <w:rPr>
          <w:rFonts w:eastAsiaTheme="minorEastAsia"/>
          <w:sz w:val="28"/>
          <w:szCs w:val="28"/>
        </w:rPr>
        <w:t>（盖章）</w:t>
      </w:r>
    </w:p>
    <w:p w14:paraId="7FBC43CA">
      <w:pPr>
        <w:topLinePunct/>
        <w:spacing w:line="360" w:lineRule="auto"/>
        <w:jc w:val="left"/>
        <w:rPr>
          <w:rFonts w:eastAsiaTheme="minorEastAsia"/>
          <w:sz w:val="28"/>
          <w:szCs w:val="28"/>
        </w:rPr>
      </w:pPr>
      <w:r>
        <w:rPr>
          <w:rFonts w:hint="eastAsia" w:eastAsiaTheme="minorEastAsia"/>
          <w:sz w:val="28"/>
          <w:szCs w:val="28"/>
        </w:rPr>
        <w:t>法定</w:t>
      </w:r>
      <w:r>
        <w:rPr>
          <w:rFonts w:eastAsiaTheme="minorEastAsia"/>
          <w:sz w:val="28"/>
          <w:szCs w:val="28"/>
        </w:rPr>
        <w:t>代表人或授权代表：</w:t>
      </w:r>
      <w:r>
        <w:rPr>
          <w:rFonts w:hint="eastAsia" w:eastAsiaTheme="minorEastAsia"/>
          <w:sz w:val="28"/>
          <w:szCs w:val="28"/>
          <w:u w:val="single"/>
        </w:rPr>
        <w:t xml:space="preserve">             </w:t>
      </w:r>
      <w:r>
        <w:rPr>
          <w:rFonts w:hint="eastAsia" w:eastAsiaTheme="minorEastAsia"/>
          <w:sz w:val="28"/>
          <w:szCs w:val="28"/>
        </w:rPr>
        <w:t>（签字或盖章）</w:t>
      </w:r>
    </w:p>
    <w:p w14:paraId="7E7BCF46">
      <w:pPr>
        <w:topLinePunct/>
        <w:spacing w:line="360" w:lineRule="auto"/>
        <w:ind w:firstLine="3080" w:firstLineChars="1100"/>
        <w:jc w:val="left"/>
        <w:rPr>
          <w:rFonts w:eastAsiaTheme="minorEastAsia"/>
          <w:sz w:val="32"/>
          <w:szCs w:val="32"/>
        </w:rPr>
      </w:pPr>
      <w:r>
        <w:rPr>
          <w:rFonts w:eastAsiaTheme="minorEastAsia"/>
          <w:sz w:val="28"/>
          <w:szCs w:val="28"/>
          <w:u w:val="single"/>
        </w:rPr>
        <w:t xml:space="preserve">        </w:t>
      </w:r>
      <w:r>
        <w:rPr>
          <w:rFonts w:eastAsiaTheme="minorEastAsia"/>
          <w:sz w:val="28"/>
          <w:szCs w:val="28"/>
        </w:rPr>
        <w:t>年</w:t>
      </w:r>
      <w:r>
        <w:rPr>
          <w:rFonts w:eastAsiaTheme="minorEastAsia"/>
          <w:sz w:val="28"/>
          <w:szCs w:val="28"/>
          <w:u w:val="single"/>
        </w:rPr>
        <w:t xml:space="preserve">       </w:t>
      </w:r>
      <w:r>
        <w:rPr>
          <w:rFonts w:eastAsiaTheme="minorEastAsia"/>
          <w:sz w:val="28"/>
          <w:szCs w:val="28"/>
        </w:rPr>
        <w:t>月</w:t>
      </w:r>
      <w:r>
        <w:rPr>
          <w:rFonts w:eastAsiaTheme="minorEastAsia"/>
          <w:sz w:val="28"/>
          <w:szCs w:val="28"/>
          <w:u w:val="single"/>
        </w:rPr>
        <w:t xml:space="preserve">      </w:t>
      </w:r>
      <w:r>
        <w:rPr>
          <w:rFonts w:eastAsiaTheme="minorEastAsia"/>
          <w:sz w:val="28"/>
          <w:szCs w:val="28"/>
        </w:rPr>
        <w:t>日</w:t>
      </w:r>
    </w:p>
    <w:p w14:paraId="38D52F58">
      <w:pPr>
        <w:widowControl/>
        <w:jc w:val="left"/>
        <w:rPr>
          <w:rFonts w:eastAsiaTheme="minorEastAsia"/>
          <w:bCs/>
          <w:sz w:val="28"/>
          <w:szCs w:val="28"/>
        </w:rPr>
      </w:pPr>
      <w:r>
        <w:rPr>
          <w:rFonts w:eastAsiaTheme="minorEastAsia"/>
          <w:bCs/>
          <w:sz w:val="28"/>
          <w:szCs w:val="28"/>
        </w:rPr>
        <w:br w:type="page"/>
      </w:r>
    </w:p>
    <w:p w14:paraId="4CC63D1D">
      <w:pPr>
        <w:topLinePunct/>
        <w:spacing w:line="360" w:lineRule="auto"/>
        <w:jc w:val="center"/>
        <w:rPr>
          <w:rFonts w:eastAsiaTheme="minorEastAsia"/>
          <w:bCs/>
          <w:sz w:val="28"/>
          <w:szCs w:val="28"/>
        </w:rPr>
      </w:pPr>
      <w:r>
        <w:rPr>
          <w:rFonts w:eastAsiaTheme="minorEastAsia"/>
          <w:bCs/>
          <w:sz w:val="28"/>
          <w:szCs w:val="28"/>
        </w:rPr>
        <w:t>二、法定代表人身份证明书</w:t>
      </w:r>
    </w:p>
    <w:p w14:paraId="0F25CC48">
      <w:pPr>
        <w:topLinePunct/>
        <w:spacing w:line="360" w:lineRule="auto"/>
        <w:ind w:firstLine="560" w:firstLineChars="200"/>
        <w:jc w:val="left"/>
        <w:rPr>
          <w:rFonts w:eastAsiaTheme="minorEastAsia"/>
          <w:sz w:val="28"/>
          <w:szCs w:val="28"/>
        </w:rPr>
      </w:pPr>
    </w:p>
    <w:p w14:paraId="4D975A14">
      <w:pPr>
        <w:topLinePunct/>
        <w:spacing w:line="360" w:lineRule="auto"/>
        <w:ind w:firstLine="560" w:firstLineChars="200"/>
        <w:jc w:val="left"/>
        <w:rPr>
          <w:rFonts w:eastAsiaTheme="minorEastAsia"/>
          <w:sz w:val="28"/>
          <w:szCs w:val="28"/>
        </w:rPr>
      </w:pPr>
    </w:p>
    <w:p w14:paraId="3C72A2F3">
      <w:pPr>
        <w:topLinePunct/>
        <w:spacing w:line="360" w:lineRule="auto"/>
        <w:ind w:firstLine="560" w:firstLineChars="200"/>
        <w:jc w:val="left"/>
        <w:rPr>
          <w:rFonts w:eastAsiaTheme="minorEastAsia"/>
          <w:sz w:val="28"/>
          <w:szCs w:val="28"/>
        </w:rPr>
      </w:pPr>
      <w:r>
        <w:rPr>
          <w:rFonts w:eastAsiaTheme="minorEastAsia"/>
          <w:sz w:val="28"/>
          <w:szCs w:val="28"/>
        </w:rPr>
        <w:t>单位名称：</w:t>
      </w:r>
      <w:r>
        <w:rPr>
          <w:rFonts w:eastAsiaTheme="minorEastAsia"/>
          <w:sz w:val="28"/>
          <w:szCs w:val="28"/>
          <w:u w:val="single"/>
        </w:rPr>
        <w:t xml:space="preserve">                             </w:t>
      </w:r>
    </w:p>
    <w:p w14:paraId="5D1A1A6F">
      <w:pPr>
        <w:topLinePunct/>
        <w:spacing w:line="360" w:lineRule="auto"/>
        <w:ind w:firstLine="560" w:firstLineChars="200"/>
        <w:jc w:val="left"/>
        <w:rPr>
          <w:rFonts w:eastAsiaTheme="minorEastAsia"/>
          <w:sz w:val="28"/>
          <w:szCs w:val="28"/>
        </w:rPr>
      </w:pPr>
      <w:r>
        <w:rPr>
          <w:rFonts w:eastAsiaTheme="minorEastAsia"/>
          <w:sz w:val="28"/>
          <w:szCs w:val="28"/>
        </w:rPr>
        <w:t>单位性质：</w:t>
      </w:r>
      <w:r>
        <w:rPr>
          <w:rFonts w:eastAsiaTheme="minorEastAsia"/>
          <w:sz w:val="28"/>
          <w:szCs w:val="28"/>
          <w:u w:val="single"/>
        </w:rPr>
        <w:t xml:space="preserve">                             </w:t>
      </w:r>
    </w:p>
    <w:p w14:paraId="00E3619D">
      <w:pPr>
        <w:topLinePunct/>
        <w:spacing w:line="360" w:lineRule="auto"/>
        <w:ind w:firstLine="560" w:firstLineChars="200"/>
        <w:jc w:val="left"/>
        <w:rPr>
          <w:rFonts w:eastAsiaTheme="minorEastAsia"/>
          <w:sz w:val="28"/>
          <w:szCs w:val="28"/>
        </w:rPr>
      </w:pPr>
      <w:r>
        <w:rPr>
          <w:rFonts w:eastAsiaTheme="minorEastAsia"/>
          <w:sz w:val="28"/>
          <w:szCs w:val="28"/>
        </w:rPr>
        <w:t>地    址：</w:t>
      </w:r>
      <w:r>
        <w:rPr>
          <w:rFonts w:eastAsiaTheme="minorEastAsia"/>
          <w:sz w:val="28"/>
          <w:szCs w:val="28"/>
          <w:u w:val="single"/>
        </w:rPr>
        <w:t xml:space="preserve">                             </w:t>
      </w:r>
    </w:p>
    <w:p w14:paraId="5D5198AA">
      <w:pPr>
        <w:topLinePunct/>
        <w:spacing w:line="360" w:lineRule="auto"/>
        <w:ind w:firstLine="560" w:firstLineChars="200"/>
        <w:jc w:val="left"/>
        <w:rPr>
          <w:rFonts w:eastAsiaTheme="minorEastAsia"/>
          <w:sz w:val="28"/>
          <w:szCs w:val="28"/>
        </w:rPr>
      </w:pPr>
      <w:r>
        <w:rPr>
          <w:rFonts w:eastAsiaTheme="minorEastAsia"/>
          <w:sz w:val="28"/>
          <w:szCs w:val="28"/>
        </w:rPr>
        <w:t>成立时间：</w:t>
      </w:r>
      <w:r>
        <w:rPr>
          <w:rFonts w:eastAsiaTheme="minorEastAsia"/>
          <w:sz w:val="28"/>
          <w:szCs w:val="28"/>
          <w:u w:val="single"/>
        </w:rPr>
        <w:t xml:space="preserve">                             </w:t>
      </w:r>
    </w:p>
    <w:p w14:paraId="6832BD6B">
      <w:pPr>
        <w:topLinePunct/>
        <w:spacing w:line="360" w:lineRule="auto"/>
        <w:ind w:firstLine="560" w:firstLineChars="200"/>
        <w:jc w:val="left"/>
        <w:rPr>
          <w:rFonts w:eastAsiaTheme="minorEastAsia"/>
          <w:sz w:val="28"/>
          <w:szCs w:val="28"/>
        </w:rPr>
      </w:pPr>
      <w:r>
        <w:rPr>
          <w:rFonts w:eastAsiaTheme="minorEastAsia"/>
          <w:sz w:val="28"/>
          <w:szCs w:val="28"/>
        </w:rPr>
        <w:t>经营期限：</w:t>
      </w:r>
      <w:r>
        <w:rPr>
          <w:rFonts w:eastAsiaTheme="minorEastAsia"/>
          <w:sz w:val="28"/>
          <w:szCs w:val="28"/>
          <w:u w:val="single"/>
        </w:rPr>
        <w:t xml:space="preserve">                             </w:t>
      </w:r>
    </w:p>
    <w:p w14:paraId="65ECAF3A">
      <w:pPr>
        <w:topLinePunct/>
        <w:spacing w:line="360" w:lineRule="auto"/>
        <w:ind w:firstLine="562" w:firstLineChars="200"/>
        <w:jc w:val="left"/>
        <w:rPr>
          <w:rFonts w:eastAsiaTheme="minorEastAsia"/>
          <w:sz w:val="28"/>
          <w:szCs w:val="28"/>
        </w:rPr>
      </w:pPr>
      <w:r>
        <w:rPr>
          <w:rFonts w:eastAsiaTheme="minorEastAsia"/>
          <w:b/>
          <w:bCs/>
          <w:sz w:val="28"/>
          <w:szCs w:val="28"/>
          <w:u w:val="single"/>
        </w:rPr>
        <w:t>（法定代表人姓名）</w:t>
      </w:r>
      <w:r>
        <w:rPr>
          <w:rFonts w:eastAsiaTheme="minorEastAsia"/>
          <w:sz w:val="28"/>
          <w:szCs w:val="28"/>
        </w:rPr>
        <w:t>系</w:t>
      </w:r>
      <w:r>
        <w:rPr>
          <w:rFonts w:eastAsiaTheme="minorEastAsia"/>
          <w:sz w:val="28"/>
          <w:szCs w:val="28"/>
          <w:u w:val="single"/>
        </w:rPr>
        <w:t xml:space="preserve">        </w:t>
      </w:r>
      <w:r>
        <w:rPr>
          <w:rFonts w:eastAsiaTheme="minorEastAsia"/>
          <w:b/>
          <w:bCs/>
          <w:sz w:val="28"/>
          <w:szCs w:val="28"/>
          <w:u w:val="single"/>
        </w:rPr>
        <w:t>（比选申请人全称）</w:t>
      </w:r>
      <w:r>
        <w:rPr>
          <w:rFonts w:eastAsiaTheme="minorEastAsia"/>
          <w:sz w:val="28"/>
          <w:szCs w:val="28"/>
          <w:u w:val="single"/>
        </w:rPr>
        <w:t xml:space="preserve">             </w:t>
      </w:r>
      <w:r>
        <w:rPr>
          <w:rFonts w:eastAsiaTheme="minorEastAsia"/>
          <w:sz w:val="28"/>
          <w:szCs w:val="28"/>
        </w:rPr>
        <w:t>的法定代表人。</w:t>
      </w:r>
    </w:p>
    <w:p w14:paraId="02BE0E65">
      <w:pPr>
        <w:topLinePunct/>
        <w:spacing w:line="360" w:lineRule="auto"/>
        <w:ind w:firstLine="560" w:firstLineChars="200"/>
        <w:jc w:val="left"/>
        <w:rPr>
          <w:rFonts w:eastAsiaTheme="minorEastAsia"/>
          <w:sz w:val="28"/>
          <w:szCs w:val="28"/>
        </w:rPr>
      </w:pPr>
      <w:r>
        <w:rPr>
          <w:rFonts w:eastAsiaTheme="minorEastAsia"/>
          <w:sz w:val="28"/>
          <w:szCs w:val="28"/>
        </w:rPr>
        <w:t>特此证明。</w:t>
      </w:r>
    </w:p>
    <w:p w14:paraId="071687EF">
      <w:pPr>
        <w:topLinePunct/>
        <w:spacing w:line="360" w:lineRule="auto"/>
        <w:jc w:val="left"/>
        <w:rPr>
          <w:rFonts w:eastAsiaTheme="minorEastAsia"/>
          <w:sz w:val="28"/>
          <w:szCs w:val="28"/>
        </w:rPr>
      </w:pPr>
    </w:p>
    <w:p w14:paraId="1714886B">
      <w:pPr>
        <w:topLinePunct/>
        <w:spacing w:line="360" w:lineRule="auto"/>
        <w:jc w:val="left"/>
        <w:rPr>
          <w:rFonts w:eastAsiaTheme="minorEastAsia"/>
          <w:sz w:val="28"/>
          <w:szCs w:val="28"/>
        </w:rPr>
      </w:pPr>
    </w:p>
    <w:p w14:paraId="614DA844">
      <w:pPr>
        <w:topLinePunct/>
        <w:spacing w:line="360" w:lineRule="auto"/>
        <w:jc w:val="left"/>
        <w:rPr>
          <w:rFonts w:eastAsiaTheme="minorEastAsia"/>
          <w:sz w:val="28"/>
          <w:szCs w:val="28"/>
        </w:rPr>
      </w:pPr>
    </w:p>
    <w:p w14:paraId="05D755B0">
      <w:pPr>
        <w:topLinePunct/>
        <w:spacing w:line="360" w:lineRule="auto"/>
        <w:jc w:val="left"/>
        <w:rPr>
          <w:rFonts w:eastAsiaTheme="minorEastAsia"/>
          <w:sz w:val="28"/>
          <w:szCs w:val="28"/>
        </w:rPr>
      </w:pPr>
    </w:p>
    <w:p w14:paraId="62285867">
      <w:pPr>
        <w:topLinePunct/>
        <w:spacing w:line="360" w:lineRule="auto"/>
        <w:ind w:firstLine="3920" w:firstLineChars="1400"/>
        <w:jc w:val="left"/>
        <w:rPr>
          <w:rFonts w:eastAsiaTheme="minorEastAsia"/>
          <w:sz w:val="28"/>
          <w:szCs w:val="28"/>
        </w:rPr>
      </w:pPr>
    </w:p>
    <w:p w14:paraId="70EDB270">
      <w:pPr>
        <w:topLinePunct/>
        <w:spacing w:line="360" w:lineRule="auto"/>
        <w:ind w:firstLine="3920" w:firstLineChars="1400"/>
        <w:jc w:val="left"/>
        <w:rPr>
          <w:rFonts w:eastAsiaTheme="minorEastAsia"/>
          <w:sz w:val="28"/>
          <w:szCs w:val="28"/>
        </w:rPr>
      </w:pPr>
      <w:r>
        <w:rPr>
          <w:rFonts w:eastAsiaTheme="minorEastAsia"/>
          <w:sz w:val="28"/>
          <w:szCs w:val="28"/>
        </w:rPr>
        <w:t>比选申请人：</w:t>
      </w:r>
      <w:r>
        <w:rPr>
          <w:rFonts w:eastAsiaTheme="minorEastAsia"/>
          <w:sz w:val="28"/>
          <w:szCs w:val="28"/>
          <w:u w:val="single"/>
        </w:rPr>
        <w:t xml:space="preserve">            </w:t>
      </w:r>
      <w:r>
        <w:rPr>
          <w:rFonts w:eastAsiaTheme="minorEastAsia"/>
          <w:sz w:val="28"/>
          <w:szCs w:val="28"/>
        </w:rPr>
        <w:t>（盖章）</w:t>
      </w:r>
    </w:p>
    <w:p w14:paraId="5456674F">
      <w:pPr>
        <w:topLinePunct/>
        <w:spacing w:line="360" w:lineRule="auto"/>
        <w:ind w:firstLine="3920" w:firstLineChars="1400"/>
        <w:jc w:val="left"/>
        <w:rPr>
          <w:rFonts w:eastAsiaTheme="minorEastAsia"/>
          <w:sz w:val="28"/>
          <w:szCs w:val="28"/>
        </w:rPr>
      </w:pPr>
      <w:r>
        <w:rPr>
          <w:rFonts w:eastAsiaTheme="minorEastAsia"/>
          <w:sz w:val="28"/>
          <w:szCs w:val="28"/>
          <w:u w:val="single"/>
        </w:rPr>
        <w:t xml:space="preserve">           </w:t>
      </w:r>
      <w:r>
        <w:rPr>
          <w:rFonts w:eastAsiaTheme="minorEastAsia"/>
          <w:sz w:val="28"/>
          <w:szCs w:val="28"/>
        </w:rPr>
        <w:t>年</w:t>
      </w:r>
      <w:r>
        <w:rPr>
          <w:rFonts w:eastAsiaTheme="minorEastAsia"/>
          <w:sz w:val="28"/>
          <w:szCs w:val="28"/>
          <w:u w:val="single"/>
        </w:rPr>
        <w:t xml:space="preserve">        </w:t>
      </w:r>
      <w:r>
        <w:rPr>
          <w:rFonts w:eastAsiaTheme="minorEastAsia"/>
          <w:sz w:val="28"/>
          <w:szCs w:val="28"/>
        </w:rPr>
        <w:t>月</w:t>
      </w:r>
      <w:r>
        <w:rPr>
          <w:rFonts w:eastAsiaTheme="minorEastAsia"/>
          <w:sz w:val="28"/>
          <w:szCs w:val="28"/>
          <w:u w:val="single"/>
        </w:rPr>
        <w:t xml:space="preserve">        </w:t>
      </w:r>
      <w:r>
        <w:rPr>
          <w:rFonts w:eastAsiaTheme="minorEastAsia"/>
          <w:sz w:val="28"/>
          <w:szCs w:val="28"/>
        </w:rPr>
        <w:t>日</w:t>
      </w:r>
    </w:p>
    <w:p w14:paraId="38DC9251">
      <w:pPr>
        <w:topLinePunct/>
        <w:spacing w:line="360" w:lineRule="auto"/>
        <w:jc w:val="left"/>
        <w:rPr>
          <w:rFonts w:eastAsiaTheme="minorEastAsia"/>
          <w:sz w:val="28"/>
          <w:szCs w:val="28"/>
        </w:rPr>
      </w:pPr>
    </w:p>
    <w:p w14:paraId="2F6F8C84">
      <w:pPr>
        <w:topLinePunct/>
        <w:spacing w:line="360" w:lineRule="auto"/>
        <w:jc w:val="left"/>
        <w:rPr>
          <w:rFonts w:eastAsiaTheme="minorEastAsia"/>
          <w:sz w:val="28"/>
          <w:szCs w:val="28"/>
        </w:rPr>
      </w:pPr>
    </w:p>
    <w:p w14:paraId="74A8D5E1">
      <w:pPr>
        <w:topLinePunct/>
        <w:spacing w:line="360" w:lineRule="auto"/>
        <w:jc w:val="left"/>
        <w:rPr>
          <w:rFonts w:eastAsiaTheme="minorEastAsia"/>
          <w:sz w:val="28"/>
          <w:szCs w:val="28"/>
        </w:rPr>
      </w:pPr>
      <w:r>
        <w:rPr>
          <w:rFonts w:eastAsiaTheme="minorEastAsia"/>
          <w:sz w:val="28"/>
          <w:szCs w:val="28"/>
        </w:rPr>
        <w:t>注：附法定代表人的身份证复印件并加盖单位公章。</w:t>
      </w:r>
    </w:p>
    <w:p w14:paraId="7D7B51AE">
      <w:pPr>
        <w:widowControl/>
        <w:jc w:val="left"/>
        <w:rPr>
          <w:rFonts w:eastAsiaTheme="minorEastAsia"/>
          <w:bCs/>
          <w:sz w:val="28"/>
          <w:szCs w:val="28"/>
        </w:rPr>
      </w:pPr>
      <w:r>
        <w:rPr>
          <w:rFonts w:eastAsiaTheme="minorEastAsia"/>
          <w:bCs/>
          <w:sz w:val="28"/>
          <w:szCs w:val="28"/>
        </w:rPr>
        <w:br w:type="page"/>
      </w:r>
    </w:p>
    <w:p w14:paraId="4BF2DE55">
      <w:pPr>
        <w:topLinePunct/>
        <w:spacing w:line="360" w:lineRule="auto"/>
        <w:jc w:val="center"/>
        <w:rPr>
          <w:rFonts w:eastAsiaTheme="minorEastAsia"/>
          <w:bCs/>
          <w:sz w:val="28"/>
          <w:szCs w:val="28"/>
        </w:rPr>
      </w:pPr>
      <w:r>
        <w:rPr>
          <w:rFonts w:eastAsiaTheme="minorEastAsia"/>
          <w:bCs/>
          <w:sz w:val="28"/>
          <w:szCs w:val="28"/>
        </w:rPr>
        <w:t>三、法定代表人授权委托书</w:t>
      </w:r>
    </w:p>
    <w:p w14:paraId="3517AC01">
      <w:pPr>
        <w:topLinePunct/>
        <w:spacing w:line="360" w:lineRule="auto"/>
        <w:rPr>
          <w:rFonts w:eastAsiaTheme="minorEastAsia"/>
          <w:sz w:val="28"/>
          <w:szCs w:val="28"/>
        </w:rPr>
      </w:pPr>
    </w:p>
    <w:p w14:paraId="2F6FE7C9">
      <w:pPr>
        <w:topLinePunct/>
        <w:spacing w:line="360" w:lineRule="auto"/>
        <w:rPr>
          <w:rFonts w:eastAsiaTheme="minorEastAsia"/>
          <w:sz w:val="28"/>
          <w:szCs w:val="28"/>
        </w:rPr>
      </w:pPr>
      <w:r>
        <w:rPr>
          <w:rFonts w:eastAsiaTheme="minorEastAsia"/>
          <w:sz w:val="28"/>
          <w:szCs w:val="28"/>
        </w:rPr>
        <w:t>成都市温江区规划和自然资源局：</w:t>
      </w:r>
    </w:p>
    <w:p w14:paraId="7D5C74D8">
      <w:pPr>
        <w:topLinePunct/>
        <w:spacing w:line="360" w:lineRule="auto"/>
        <w:ind w:firstLine="560" w:firstLineChars="200"/>
        <w:jc w:val="left"/>
        <w:rPr>
          <w:rFonts w:eastAsiaTheme="minorEastAsia"/>
          <w:sz w:val="28"/>
          <w:szCs w:val="28"/>
        </w:rPr>
      </w:pPr>
      <w:r>
        <w:rPr>
          <w:rFonts w:eastAsiaTheme="minorEastAsia"/>
          <w:sz w:val="28"/>
          <w:szCs w:val="28"/>
        </w:rPr>
        <w:t>本人</w:t>
      </w:r>
      <w:r>
        <w:rPr>
          <w:rFonts w:eastAsiaTheme="minorEastAsia"/>
          <w:sz w:val="28"/>
          <w:szCs w:val="28"/>
          <w:u w:val="single"/>
        </w:rPr>
        <w:t xml:space="preserve">  （姓名） </w:t>
      </w:r>
      <w:r>
        <w:rPr>
          <w:rFonts w:eastAsiaTheme="minorEastAsia"/>
          <w:sz w:val="28"/>
          <w:szCs w:val="28"/>
        </w:rPr>
        <w:t>系</w:t>
      </w:r>
      <w:r>
        <w:rPr>
          <w:rFonts w:eastAsiaTheme="minorEastAsia"/>
          <w:sz w:val="28"/>
          <w:szCs w:val="28"/>
          <w:u w:val="single"/>
        </w:rPr>
        <w:t xml:space="preserve"> （比选申请人全称）</w:t>
      </w:r>
      <w:r>
        <w:rPr>
          <w:rFonts w:eastAsiaTheme="minorEastAsia"/>
          <w:sz w:val="28"/>
          <w:szCs w:val="28"/>
        </w:rPr>
        <w:t>的法定代表人，现授权委托</w:t>
      </w:r>
      <w:r>
        <w:rPr>
          <w:rFonts w:eastAsiaTheme="minorEastAsia"/>
          <w:sz w:val="28"/>
          <w:szCs w:val="28"/>
          <w:u w:val="single"/>
        </w:rPr>
        <w:t xml:space="preserve">  （被委托人姓名、职务）</w:t>
      </w:r>
      <w:r>
        <w:rPr>
          <w:rFonts w:eastAsiaTheme="minorEastAsia"/>
          <w:sz w:val="28"/>
          <w:szCs w:val="28"/>
        </w:rPr>
        <w:t>为我公司代理人，以本公司的名义参加温江区2026年农村宅基地和住房定位验线服务项目比选活动。代理人在比选活动过程中所签署的一切文件和处理与之有关的一切事务，均为代表本公司的行为，与本人的行为具有同等法律效力。本公司将承担代理人行为的一切法律责任和后果。</w:t>
      </w:r>
    </w:p>
    <w:p w14:paraId="32FECC2D">
      <w:pPr>
        <w:topLinePunct/>
        <w:spacing w:line="360" w:lineRule="auto"/>
        <w:ind w:firstLine="560" w:firstLineChars="200"/>
        <w:jc w:val="left"/>
        <w:rPr>
          <w:rFonts w:eastAsiaTheme="minorEastAsia"/>
          <w:sz w:val="28"/>
          <w:szCs w:val="28"/>
        </w:rPr>
      </w:pPr>
      <w:r>
        <w:rPr>
          <w:rFonts w:eastAsiaTheme="minorEastAsia"/>
          <w:sz w:val="28"/>
          <w:szCs w:val="28"/>
        </w:rPr>
        <w:t>代理人无转委托权，特此委托。</w:t>
      </w:r>
    </w:p>
    <w:p w14:paraId="297179A2">
      <w:pPr>
        <w:topLinePunct/>
        <w:spacing w:line="360" w:lineRule="auto"/>
        <w:jc w:val="left"/>
        <w:rPr>
          <w:rFonts w:eastAsiaTheme="minorEastAsia"/>
          <w:sz w:val="28"/>
          <w:szCs w:val="28"/>
        </w:rPr>
      </w:pPr>
    </w:p>
    <w:p w14:paraId="2B01456E">
      <w:pPr>
        <w:topLinePunct/>
        <w:spacing w:line="360" w:lineRule="auto"/>
        <w:jc w:val="left"/>
        <w:rPr>
          <w:rFonts w:eastAsiaTheme="minorEastAsia"/>
          <w:sz w:val="28"/>
          <w:szCs w:val="28"/>
        </w:rPr>
      </w:pPr>
    </w:p>
    <w:p w14:paraId="428A65FC">
      <w:pPr>
        <w:topLinePunct/>
        <w:spacing w:line="360" w:lineRule="auto"/>
        <w:jc w:val="left"/>
        <w:rPr>
          <w:rFonts w:eastAsiaTheme="minorEastAsia"/>
          <w:sz w:val="28"/>
          <w:szCs w:val="28"/>
        </w:rPr>
      </w:pPr>
    </w:p>
    <w:p w14:paraId="592E4D2E">
      <w:pPr>
        <w:topLinePunct/>
        <w:spacing w:line="360" w:lineRule="auto"/>
        <w:ind w:firstLine="1680" w:firstLineChars="600"/>
        <w:jc w:val="left"/>
        <w:rPr>
          <w:rFonts w:eastAsiaTheme="minorEastAsia"/>
          <w:sz w:val="28"/>
          <w:szCs w:val="28"/>
        </w:rPr>
      </w:pPr>
      <w:r>
        <w:rPr>
          <w:rFonts w:eastAsiaTheme="minorEastAsia"/>
          <w:sz w:val="28"/>
          <w:szCs w:val="28"/>
        </w:rPr>
        <w:t>代  理  人：</w:t>
      </w:r>
      <w:r>
        <w:rPr>
          <w:rFonts w:eastAsiaTheme="minorEastAsia"/>
          <w:sz w:val="28"/>
          <w:szCs w:val="28"/>
          <w:u w:val="single"/>
        </w:rPr>
        <w:t xml:space="preserve">      （   签字   ）       </w:t>
      </w:r>
    </w:p>
    <w:p w14:paraId="64D5B340">
      <w:pPr>
        <w:topLinePunct/>
        <w:spacing w:line="360" w:lineRule="auto"/>
        <w:ind w:firstLine="1680" w:firstLineChars="600"/>
        <w:jc w:val="left"/>
        <w:rPr>
          <w:rFonts w:eastAsiaTheme="minorEastAsia"/>
          <w:sz w:val="28"/>
          <w:szCs w:val="28"/>
        </w:rPr>
      </w:pPr>
      <w:r>
        <w:rPr>
          <w:rFonts w:eastAsiaTheme="minorEastAsia"/>
          <w:sz w:val="28"/>
          <w:szCs w:val="28"/>
        </w:rPr>
        <w:t>身份证号码：</w:t>
      </w:r>
      <w:r>
        <w:rPr>
          <w:rFonts w:eastAsiaTheme="minorEastAsia"/>
          <w:sz w:val="28"/>
          <w:szCs w:val="28"/>
          <w:u w:val="single"/>
        </w:rPr>
        <w:t xml:space="preserve">                           </w:t>
      </w:r>
    </w:p>
    <w:p w14:paraId="7E68AA17">
      <w:pPr>
        <w:topLinePunct/>
        <w:spacing w:line="360" w:lineRule="auto"/>
        <w:ind w:firstLine="1680" w:firstLineChars="600"/>
        <w:jc w:val="left"/>
        <w:rPr>
          <w:rFonts w:eastAsiaTheme="minorEastAsia"/>
          <w:sz w:val="28"/>
          <w:szCs w:val="28"/>
          <w:u w:val="single"/>
        </w:rPr>
      </w:pPr>
      <w:r>
        <w:rPr>
          <w:rFonts w:eastAsiaTheme="minorEastAsia"/>
          <w:sz w:val="28"/>
          <w:szCs w:val="28"/>
        </w:rPr>
        <w:t>比选申请人：</w:t>
      </w:r>
      <w:r>
        <w:rPr>
          <w:rFonts w:eastAsiaTheme="minorEastAsia"/>
          <w:sz w:val="28"/>
          <w:szCs w:val="28"/>
          <w:u w:val="single"/>
        </w:rPr>
        <w:t xml:space="preserve">      （   盖章   ）       </w:t>
      </w:r>
    </w:p>
    <w:p w14:paraId="787A7320">
      <w:pPr>
        <w:topLinePunct/>
        <w:spacing w:line="360" w:lineRule="auto"/>
        <w:ind w:firstLine="1680" w:firstLineChars="600"/>
        <w:jc w:val="left"/>
        <w:rPr>
          <w:rFonts w:eastAsiaTheme="minorEastAsia"/>
          <w:sz w:val="28"/>
          <w:szCs w:val="28"/>
          <w:u w:val="single"/>
        </w:rPr>
      </w:pPr>
      <w:r>
        <w:rPr>
          <w:rFonts w:eastAsiaTheme="minorEastAsia"/>
          <w:sz w:val="28"/>
          <w:szCs w:val="28"/>
        </w:rPr>
        <w:t>法定代表人：</w:t>
      </w:r>
      <w:r>
        <w:rPr>
          <w:rFonts w:eastAsiaTheme="minorEastAsia"/>
          <w:sz w:val="28"/>
          <w:szCs w:val="28"/>
          <w:u w:val="single"/>
        </w:rPr>
        <w:t xml:space="preserve">      （签字或盖章）       </w:t>
      </w:r>
    </w:p>
    <w:p w14:paraId="318CFFCC">
      <w:pPr>
        <w:topLinePunct/>
        <w:spacing w:line="360" w:lineRule="auto"/>
        <w:ind w:firstLine="1680" w:firstLineChars="600"/>
        <w:jc w:val="left"/>
        <w:rPr>
          <w:rFonts w:eastAsiaTheme="minorEastAsia"/>
          <w:sz w:val="28"/>
          <w:szCs w:val="28"/>
        </w:rPr>
      </w:pPr>
      <w:r>
        <w:rPr>
          <w:rFonts w:eastAsiaTheme="minorEastAsia"/>
          <w:sz w:val="28"/>
          <w:szCs w:val="28"/>
        </w:rPr>
        <w:t>授权委托日期：</w:t>
      </w:r>
      <w:r>
        <w:rPr>
          <w:rFonts w:eastAsiaTheme="minorEastAsia"/>
          <w:sz w:val="28"/>
          <w:szCs w:val="28"/>
          <w:u w:val="single"/>
        </w:rPr>
        <w:t xml:space="preserve">       </w:t>
      </w:r>
      <w:r>
        <w:rPr>
          <w:rFonts w:eastAsiaTheme="minorEastAsia"/>
          <w:sz w:val="28"/>
          <w:szCs w:val="28"/>
        </w:rPr>
        <w:t>年</w:t>
      </w:r>
      <w:r>
        <w:rPr>
          <w:rFonts w:eastAsiaTheme="minorEastAsia"/>
          <w:sz w:val="28"/>
          <w:szCs w:val="28"/>
          <w:u w:val="single"/>
        </w:rPr>
        <w:t xml:space="preserve">       </w:t>
      </w:r>
      <w:r>
        <w:rPr>
          <w:rFonts w:eastAsiaTheme="minorEastAsia"/>
          <w:sz w:val="28"/>
          <w:szCs w:val="28"/>
        </w:rPr>
        <w:t xml:space="preserve">月 </w:t>
      </w:r>
      <w:r>
        <w:rPr>
          <w:rFonts w:eastAsiaTheme="minorEastAsia"/>
          <w:sz w:val="28"/>
          <w:szCs w:val="28"/>
          <w:u w:val="single"/>
        </w:rPr>
        <w:t xml:space="preserve">     </w:t>
      </w:r>
      <w:r>
        <w:rPr>
          <w:rFonts w:eastAsiaTheme="minorEastAsia"/>
          <w:sz w:val="28"/>
          <w:szCs w:val="28"/>
        </w:rPr>
        <w:t>日</w:t>
      </w:r>
    </w:p>
    <w:p w14:paraId="6498EA5D">
      <w:pPr>
        <w:topLinePunct/>
        <w:spacing w:line="360" w:lineRule="auto"/>
        <w:jc w:val="left"/>
        <w:rPr>
          <w:rFonts w:eastAsiaTheme="minorEastAsia"/>
          <w:sz w:val="32"/>
          <w:szCs w:val="32"/>
        </w:rPr>
      </w:pPr>
    </w:p>
    <w:p w14:paraId="3C0CA229">
      <w:pPr>
        <w:topLinePunct/>
        <w:spacing w:line="360" w:lineRule="auto"/>
        <w:jc w:val="left"/>
        <w:rPr>
          <w:rFonts w:eastAsiaTheme="minorEastAsia"/>
          <w:sz w:val="28"/>
          <w:szCs w:val="28"/>
        </w:rPr>
      </w:pPr>
      <w:r>
        <w:rPr>
          <w:rFonts w:eastAsiaTheme="minorEastAsia"/>
          <w:sz w:val="28"/>
          <w:szCs w:val="28"/>
        </w:rPr>
        <w:t>注：1、附法定代表人及委托代理人身份证复印件并加盖单位公章。</w:t>
      </w:r>
    </w:p>
    <w:p w14:paraId="6FF43C9F">
      <w:pPr>
        <w:topLinePunct/>
        <w:spacing w:line="360" w:lineRule="auto"/>
        <w:ind w:firstLine="560" w:firstLineChars="200"/>
        <w:rPr>
          <w:rFonts w:eastAsiaTheme="minorEastAsia"/>
          <w:sz w:val="28"/>
          <w:szCs w:val="28"/>
        </w:rPr>
      </w:pPr>
      <w:r>
        <w:rPr>
          <w:rFonts w:eastAsiaTheme="minorEastAsia"/>
          <w:sz w:val="28"/>
          <w:szCs w:val="28"/>
        </w:rPr>
        <w:t>2、比选申请人的法定代表人直接参加比选活动的，不提供授权书。</w:t>
      </w:r>
    </w:p>
    <w:p w14:paraId="1166FB37">
      <w:pPr>
        <w:widowControl/>
        <w:jc w:val="left"/>
        <w:rPr>
          <w:rFonts w:eastAsiaTheme="minorEastAsia"/>
          <w:bCs/>
          <w:sz w:val="28"/>
          <w:szCs w:val="28"/>
        </w:rPr>
      </w:pPr>
      <w:r>
        <w:rPr>
          <w:rFonts w:eastAsiaTheme="minorEastAsia"/>
          <w:bCs/>
          <w:sz w:val="28"/>
          <w:szCs w:val="28"/>
        </w:rPr>
        <w:br w:type="page"/>
      </w:r>
    </w:p>
    <w:p w14:paraId="326CED3F">
      <w:pPr>
        <w:topLinePunct/>
        <w:spacing w:line="360" w:lineRule="auto"/>
        <w:jc w:val="center"/>
        <w:rPr>
          <w:rFonts w:eastAsiaTheme="minorEastAsia"/>
          <w:bCs/>
          <w:sz w:val="28"/>
          <w:szCs w:val="28"/>
        </w:rPr>
      </w:pPr>
      <w:r>
        <w:rPr>
          <w:rFonts w:eastAsiaTheme="minorEastAsia"/>
          <w:bCs/>
          <w:sz w:val="28"/>
          <w:szCs w:val="28"/>
        </w:rPr>
        <w:t>四、报价单</w:t>
      </w:r>
    </w:p>
    <w:p w14:paraId="4D649FF2">
      <w:pPr>
        <w:spacing w:line="480" w:lineRule="exact"/>
        <w:rPr>
          <w:rFonts w:eastAsiaTheme="minorEastAsia"/>
          <w:b/>
          <w:sz w:val="28"/>
          <w:szCs w:val="28"/>
        </w:rPr>
      </w:pPr>
    </w:p>
    <w:p w14:paraId="27B7EEF6">
      <w:pPr>
        <w:topLinePunct/>
        <w:spacing w:line="360" w:lineRule="auto"/>
        <w:jc w:val="left"/>
        <w:rPr>
          <w:rFonts w:eastAsiaTheme="minorEastAsia"/>
          <w:sz w:val="28"/>
          <w:szCs w:val="28"/>
        </w:rPr>
      </w:pPr>
      <w:r>
        <w:rPr>
          <w:rFonts w:eastAsiaTheme="minorEastAsia"/>
          <w:sz w:val="28"/>
          <w:szCs w:val="28"/>
        </w:rPr>
        <w:t>成都市温江区规划和自然资源局：</w:t>
      </w:r>
    </w:p>
    <w:p w14:paraId="6E266187">
      <w:pPr>
        <w:spacing w:line="360" w:lineRule="auto"/>
        <w:ind w:firstLine="570"/>
        <w:jc w:val="left"/>
        <w:rPr>
          <w:sz w:val="28"/>
          <w:szCs w:val="28"/>
        </w:rPr>
      </w:pPr>
      <w:r>
        <w:rPr>
          <w:sz w:val="28"/>
          <w:szCs w:val="28"/>
        </w:rPr>
        <w:t>我单位已详细审查温江区2026年农村宅基地和住房定位验线服务项目比选文件，并完全响应文件内容，经仔细测算，现慎重报价为单价</w:t>
      </w:r>
      <w:r>
        <w:rPr>
          <w:sz w:val="28"/>
          <w:szCs w:val="28"/>
          <w:u w:val="single"/>
        </w:rPr>
        <w:t xml:space="preserve">      </w:t>
      </w:r>
      <w:r>
        <w:rPr>
          <w:sz w:val="28"/>
          <w:szCs w:val="28"/>
        </w:rPr>
        <w:t>元/户，大写：</w:t>
      </w:r>
      <w:r>
        <w:rPr>
          <w:sz w:val="28"/>
          <w:szCs w:val="28"/>
          <w:u w:val="single"/>
        </w:rPr>
        <w:t xml:space="preserve">     </w:t>
      </w:r>
      <w:r>
        <w:rPr>
          <w:sz w:val="28"/>
          <w:szCs w:val="28"/>
        </w:rPr>
        <w:t>元/户（具体金额根据实际工作量计算，且最高不超过本次报价单总价上限30.00万元）。</w:t>
      </w:r>
    </w:p>
    <w:p w14:paraId="204AB4AC">
      <w:pPr>
        <w:spacing w:line="360" w:lineRule="auto"/>
        <w:ind w:firstLine="570"/>
        <w:jc w:val="left"/>
        <w:rPr>
          <w:rFonts w:eastAsiaTheme="minorEastAsia"/>
          <w:sz w:val="28"/>
          <w:szCs w:val="28"/>
        </w:rPr>
      </w:pPr>
    </w:p>
    <w:p w14:paraId="267883FE">
      <w:pPr>
        <w:spacing w:line="360" w:lineRule="auto"/>
        <w:ind w:firstLine="570"/>
        <w:jc w:val="left"/>
        <w:rPr>
          <w:rFonts w:eastAsiaTheme="minorEastAsia"/>
          <w:sz w:val="28"/>
          <w:szCs w:val="28"/>
        </w:rPr>
      </w:pPr>
    </w:p>
    <w:p w14:paraId="06B52578">
      <w:pPr>
        <w:spacing w:line="360" w:lineRule="auto"/>
        <w:jc w:val="left"/>
        <w:rPr>
          <w:rFonts w:eastAsiaTheme="minorEastAsia"/>
          <w:sz w:val="28"/>
          <w:szCs w:val="28"/>
          <w:u w:val="single"/>
        </w:rPr>
      </w:pPr>
    </w:p>
    <w:p w14:paraId="49498FE6">
      <w:pPr>
        <w:spacing w:line="360" w:lineRule="auto"/>
        <w:jc w:val="left"/>
        <w:rPr>
          <w:rFonts w:eastAsiaTheme="minorEastAsia"/>
          <w:sz w:val="28"/>
          <w:szCs w:val="28"/>
          <w:u w:val="single"/>
        </w:rPr>
      </w:pPr>
    </w:p>
    <w:p w14:paraId="13ED4C88">
      <w:pPr>
        <w:spacing w:line="360" w:lineRule="auto"/>
        <w:rPr>
          <w:rFonts w:eastAsiaTheme="minorEastAsia"/>
          <w:sz w:val="28"/>
          <w:szCs w:val="28"/>
        </w:rPr>
      </w:pPr>
      <w:r>
        <w:rPr>
          <w:rFonts w:eastAsiaTheme="minorEastAsia"/>
          <w:sz w:val="28"/>
          <w:szCs w:val="28"/>
        </w:rPr>
        <w:t>报价单位：（盖章）</w:t>
      </w:r>
    </w:p>
    <w:p w14:paraId="3A9C62F8">
      <w:pPr>
        <w:spacing w:line="360" w:lineRule="auto"/>
        <w:rPr>
          <w:rFonts w:eastAsiaTheme="minorEastAsia"/>
          <w:sz w:val="28"/>
          <w:szCs w:val="28"/>
        </w:rPr>
      </w:pPr>
      <w:r>
        <w:rPr>
          <w:rFonts w:hint="eastAsia" w:eastAsiaTheme="minorEastAsia"/>
          <w:sz w:val="28"/>
          <w:szCs w:val="28"/>
        </w:rPr>
        <w:t>法定</w:t>
      </w:r>
      <w:r>
        <w:rPr>
          <w:rFonts w:eastAsiaTheme="minorEastAsia"/>
          <w:sz w:val="28"/>
          <w:szCs w:val="28"/>
        </w:rPr>
        <w:t>代表人或授权代表：</w:t>
      </w:r>
      <w:r>
        <w:rPr>
          <w:rFonts w:hint="eastAsia" w:eastAsiaTheme="minorEastAsia"/>
          <w:sz w:val="28"/>
          <w:szCs w:val="28"/>
          <w:u w:val="single"/>
        </w:rPr>
        <w:t xml:space="preserve">             </w:t>
      </w:r>
      <w:r>
        <w:rPr>
          <w:rFonts w:hint="eastAsia" w:eastAsiaTheme="minorEastAsia"/>
          <w:sz w:val="28"/>
          <w:szCs w:val="28"/>
        </w:rPr>
        <w:t>（签字或盖章）</w:t>
      </w:r>
    </w:p>
    <w:p w14:paraId="27E4ADA5">
      <w:pPr>
        <w:spacing w:line="360" w:lineRule="auto"/>
        <w:rPr>
          <w:rFonts w:eastAsiaTheme="minorEastAsia"/>
          <w:sz w:val="28"/>
          <w:szCs w:val="28"/>
        </w:rPr>
      </w:pPr>
    </w:p>
    <w:p w14:paraId="27CBBBC9">
      <w:pPr>
        <w:spacing w:line="360" w:lineRule="auto"/>
        <w:ind w:firstLine="4460" w:firstLineChars="1593"/>
        <w:rPr>
          <w:rFonts w:eastAsiaTheme="minorEastAsia"/>
          <w:sz w:val="28"/>
          <w:szCs w:val="28"/>
        </w:rPr>
      </w:pPr>
      <w:r>
        <w:rPr>
          <w:rFonts w:eastAsiaTheme="minorEastAsia"/>
          <w:sz w:val="28"/>
          <w:szCs w:val="28"/>
        </w:rPr>
        <w:t>时间：      年   月   日</w:t>
      </w:r>
    </w:p>
    <w:p w14:paraId="6A2A9D1B">
      <w:pPr>
        <w:topLinePunct/>
        <w:spacing w:line="360" w:lineRule="auto"/>
        <w:jc w:val="left"/>
        <w:rPr>
          <w:rFonts w:eastAsiaTheme="minorEastAsia"/>
          <w:sz w:val="28"/>
          <w:szCs w:val="28"/>
        </w:rPr>
      </w:pPr>
    </w:p>
    <w:p w14:paraId="00C73340">
      <w:pPr>
        <w:topLinePunct/>
        <w:spacing w:line="360" w:lineRule="auto"/>
        <w:jc w:val="center"/>
        <w:rPr>
          <w:rFonts w:eastAsiaTheme="minorEastAsia"/>
          <w:bCs/>
          <w:sz w:val="28"/>
          <w:szCs w:val="28"/>
        </w:rPr>
      </w:pPr>
    </w:p>
    <w:p w14:paraId="532A4C93">
      <w:pPr>
        <w:widowControl/>
        <w:jc w:val="left"/>
        <w:rPr>
          <w:rFonts w:eastAsiaTheme="minorEastAsia"/>
          <w:bCs/>
          <w:sz w:val="28"/>
          <w:szCs w:val="28"/>
        </w:rPr>
      </w:pPr>
      <w:r>
        <w:rPr>
          <w:rFonts w:eastAsiaTheme="minorEastAsia"/>
          <w:bCs/>
          <w:sz w:val="28"/>
          <w:szCs w:val="28"/>
        </w:rPr>
        <w:br w:type="page"/>
      </w:r>
    </w:p>
    <w:p w14:paraId="1E76556A">
      <w:pPr>
        <w:topLinePunct/>
        <w:spacing w:line="360" w:lineRule="auto"/>
        <w:jc w:val="center"/>
        <w:rPr>
          <w:rFonts w:eastAsiaTheme="minorEastAsia"/>
          <w:bCs/>
          <w:sz w:val="28"/>
          <w:szCs w:val="28"/>
        </w:rPr>
      </w:pPr>
      <w:r>
        <w:rPr>
          <w:rFonts w:eastAsiaTheme="minorEastAsia"/>
          <w:bCs/>
          <w:sz w:val="28"/>
          <w:szCs w:val="28"/>
        </w:rPr>
        <w:t>五、资格、资质性及其他类似效力要求的相关证明材料</w:t>
      </w:r>
    </w:p>
    <w:p w14:paraId="3020DF37">
      <w:pPr>
        <w:pStyle w:val="23"/>
        <w:rPr>
          <w:rFonts w:ascii="Times New Roman" w:hAnsi="Times New Roman"/>
          <w:color w:val="auto"/>
        </w:rPr>
      </w:pPr>
    </w:p>
    <w:p w14:paraId="009FF995">
      <w:pPr>
        <w:spacing w:line="360" w:lineRule="auto"/>
        <w:ind w:firstLine="570"/>
        <w:jc w:val="left"/>
        <w:rPr>
          <w:rFonts w:eastAsiaTheme="minorEastAsia"/>
          <w:sz w:val="28"/>
          <w:szCs w:val="28"/>
        </w:rPr>
      </w:pPr>
      <w:r>
        <w:rPr>
          <w:rFonts w:eastAsiaTheme="minorEastAsia"/>
          <w:sz w:val="28"/>
          <w:szCs w:val="28"/>
        </w:rPr>
        <w:t>1.营业执照、税务登记证及组织机构代码证三证齐全，对于已完成“三证合一”登记制度改革的，须提供由工商部门核发的已加载法人和其他组织统一社会信用代码的营业执照复印件；事业单位提供法人证书、组织机构代码证。</w:t>
      </w:r>
    </w:p>
    <w:p w14:paraId="638DE1EF">
      <w:pPr>
        <w:spacing w:line="360" w:lineRule="auto"/>
        <w:ind w:firstLine="570"/>
        <w:jc w:val="left"/>
        <w:rPr>
          <w:rFonts w:eastAsiaTheme="minorEastAsia"/>
          <w:sz w:val="28"/>
          <w:szCs w:val="28"/>
        </w:rPr>
      </w:pPr>
      <w:r>
        <w:rPr>
          <w:rFonts w:eastAsiaTheme="minorEastAsia"/>
          <w:sz w:val="28"/>
          <w:szCs w:val="28"/>
        </w:rPr>
        <w:t>2.满足比选项目提出的特殊要求的证明材料（如有）</w:t>
      </w:r>
    </w:p>
    <w:p w14:paraId="1B574BE5">
      <w:pPr>
        <w:topLinePunct/>
        <w:spacing w:line="360" w:lineRule="auto"/>
        <w:jc w:val="left"/>
        <w:rPr>
          <w:rFonts w:eastAsiaTheme="minorEastAsia"/>
          <w:sz w:val="28"/>
          <w:szCs w:val="28"/>
        </w:rPr>
      </w:pPr>
    </w:p>
    <w:p w14:paraId="4FF6D9F6">
      <w:pPr>
        <w:topLinePunct/>
        <w:spacing w:line="360" w:lineRule="auto"/>
        <w:jc w:val="left"/>
        <w:rPr>
          <w:rFonts w:eastAsiaTheme="minorEastAsia"/>
          <w:b/>
          <w:sz w:val="28"/>
          <w:szCs w:val="28"/>
        </w:rPr>
      </w:pPr>
      <w:r>
        <w:rPr>
          <w:rFonts w:eastAsiaTheme="minorEastAsia"/>
          <w:sz w:val="28"/>
          <w:szCs w:val="28"/>
        </w:rPr>
        <w:t>注：附比选申请人资格要求的相关材料（加盖申请人鲜章）。</w:t>
      </w:r>
    </w:p>
    <w:p w14:paraId="208C5408">
      <w:pPr>
        <w:topLinePunct/>
        <w:spacing w:line="360" w:lineRule="auto"/>
        <w:jc w:val="center"/>
        <w:rPr>
          <w:rFonts w:eastAsiaTheme="minorEastAsia"/>
          <w:b/>
          <w:sz w:val="28"/>
          <w:szCs w:val="28"/>
        </w:rPr>
      </w:pPr>
    </w:p>
    <w:p w14:paraId="2987591F">
      <w:pPr>
        <w:topLinePunct/>
        <w:spacing w:line="360" w:lineRule="auto"/>
        <w:jc w:val="center"/>
        <w:rPr>
          <w:rFonts w:eastAsiaTheme="minorEastAsia"/>
          <w:b/>
          <w:sz w:val="28"/>
          <w:szCs w:val="28"/>
        </w:rPr>
      </w:pPr>
    </w:p>
    <w:p w14:paraId="00C8A1CC">
      <w:pPr>
        <w:topLinePunct/>
        <w:spacing w:line="360" w:lineRule="auto"/>
        <w:jc w:val="center"/>
        <w:rPr>
          <w:rFonts w:eastAsiaTheme="minorEastAsia"/>
          <w:b/>
          <w:sz w:val="28"/>
          <w:szCs w:val="28"/>
        </w:rPr>
      </w:pPr>
    </w:p>
    <w:p w14:paraId="75A062F5">
      <w:pPr>
        <w:topLinePunct/>
        <w:spacing w:line="360" w:lineRule="auto"/>
        <w:jc w:val="center"/>
        <w:rPr>
          <w:rFonts w:eastAsiaTheme="minorEastAsia"/>
          <w:b/>
          <w:sz w:val="28"/>
          <w:szCs w:val="28"/>
        </w:rPr>
      </w:pPr>
    </w:p>
    <w:p w14:paraId="73A75EEF">
      <w:pPr>
        <w:widowControl/>
        <w:jc w:val="left"/>
        <w:rPr>
          <w:rFonts w:eastAsiaTheme="minorEastAsia"/>
          <w:bCs/>
          <w:sz w:val="28"/>
          <w:szCs w:val="28"/>
        </w:rPr>
      </w:pPr>
      <w:r>
        <w:rPr>
          <w:rFonts w:eastAsiaTheme="minorEastAsia"/>
          <w:bCs/>
          <w:sz w:val="28"/>
          <w:szCs w:val="28"/>
        </w:rPr>
        <w:br w:type="page"/>
      </w:r>
    </w:p>
    <w:p w14:paraId="7B6C912D">
      <w:pPr>
        <w:topLinePunct/>
        <w:spacing w:line="360" w:lineRule="auto"/>
        <w:jc w:val="center"/>
        <w:rPr>
          <w:rFonts w:eastAsiaTheme="minorEastAsia"/>
          <w:bCs/>
          <w:sz w:val="28"/>
          <w:szCs w:val="28"/>
        </w:rPr>
      </w:pPr>
      <w:r>
        <w:rPr>
          <w:rFonts w:eastAsiaTheme="minorEastAsia"/>
          <w:bCs/>
          <w:sz w:val="28"/>
          <w:szCs w:val="28"/>
        </w:rPr>
        <w:t>六、人员配置一览表</w:t>
      </w:r>
    </w:p>
    <w:p w14:paraId="0E6618BC">
      <w:pPr>
        <w:topLinePunct/>
        <w:spacing w:line="360" w:lineRule="auto"/>
        <w:jc w:val="center"/>
        <w:rPr>
          <w:rFonts w:eastAsiaTheme="minorEastAsia"/>
          <w:bCs/>
          <w:sz w:val="28"/>
          <w:szCs w:val="28"/>
        </w:rPr>
      </w:pP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8"/>
        <w:gridCol w:w="1207"/>
        <w:gridCol w:w="1134"/>
        <w:gridCol w:w="1134"/>
        <w:gridCol w:w="2976"/>
        <w:gridCol w:w="1582"/>
      </w:tblGrid>
      <w:tr w14:paraId="6F0F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tcPr>
          <w:p w14:paraId="4C7401F0">
            <w:pPr>
              <w:topLinePunct/>
              <w:spacing w:line="360" w:lineRule="auto"/>
              <w:jc w:val="center"/>
              <w:rPr>
                <w:rFonts w:eastAsiaTheme="minorEastAsia"/>
                <w:b/>
                <w:sz w:val="28"/>
                <w:szCs w:val="28"/>
              </w:rPr>
            </w:pPr>
            <w:r>
              <w:rPr>
                <w:rFonts w:eastAsiaTheme="minorEastAsia"/>
                <w:b/>
                <w:sz w:val="28"/>
                <w:szCs w:val="28"/>
              </w:rPr>
              <w:t>姓名</w:t>
            </w:r>
          </w:p>
        </w:tc>
        <w:tc>
          <w:tcPr>
            <w:tcW w:w="1207" w:type="dxa"/>
          </w:tcPr>
          <w:p w14:paraId="32D42C90">
            <w:pPr>
              <w:topLinePunct/>
              <w:spacing w:line="360" w:lineRule="auto"/>
              <w:jc w:val="center"/>
              <w:rPr>
                <w:rFonts w:eastAsiaTheme="minorEastAsia"/>
                <w:b/>
                <w:sz w:val="28"/>
                <w:szCs w:val="28"/>
              </w:rPr>
            </w:pPr>
            <w:r>
              <w:rPr>
                <w:rFonts w:eastAsiaTheme="minorEastAsia"/>
                <w:b/>
                <w:sz w:val="28"/>
                <w:szCs w:val="28"/>
              </w:rPr>
              <w:t>职务</w:t>
            </w:r>
          </w:p>
        </w:tc>
        <w:tc>
          <w:tcPr>
            <w:tcW w:w="1134" w:type="dxa"/>
          </w:tcPr>
          <w:p w14:paraId="3D557266">
            <w:pPr>
              <w:topLinePunct/>
              <w:spacing w:line="360" w:lineRule="auto"/>
              <w:jc w:val="center"/>
              <w:rPr>
                <w:rFonts w:eastAsiaTheme="minorEastAsia"/>
                <w:b/>
                <w:sz w:val="28"/>
                <w:szCs w:val="28"/>
              </w:rPr>
            </w:pPr>
            <w:r>
              <w:rPr>
                <w:rFonts w:eastAsiaTheme="minorEastAsia"/>
                <w:b/>
                <w:sz w:val="28"/>
                <w:szCs w:val="28"/>
              </w:rPr>
              <w:t>职称</w:t>
            </w:r>
          </w:p>
        </w:tc>
        <w:tc>
          <w:tcPr>
            <w:tcW w:w="1134" w:type="dxa"/>
          </w:tcPr>
          <w:p w14:paraId="1AF9D72B">
            <w:pPr>
              <w:topLinePunct/>
              <w:spacing w:line="360" w:lineRule="auto"/>
              <w:jc w:val="center"/>
              <w:rPr>
                <w:rFonts w:eastAsiaTheme="minorEastAsia"/>
                <w:b/>
                <w:sz w:val="28"/>
                <w:szCs w:val="28"/>
              </w:rPr>
            </w:pPr>
            <w:r>
              <w:rPr>
                <w:rFonts w:eastAsiaTheme="minorEastAsia"/>
                <w:b/>
                <w:sz w:val="28"/>
                <w:szCs w:val="28"/>
              </w:rPr>
              <w:t>专业</w:t>
            </w:r>
          </w:p>
        </w:tc>
        <w:tc>
          <w:tcPr>
            <w:tcW w:w="2976" w:type="dxa"/>
          </w:tcPr>
          <w:p w14:paraId="2325B5E8">
            <w:pPr>
              <w:topLinePunct/>
              <w:spacing w:line="360" w:lineRule="auto"/>
              <w:jc w:val="center"/>
              <w:rPr>
                <w:rFonts w:eastAsiaTheme="minorEastAsia"/>
                <w:b/>
                <w:sz w:val="28"/>
                <w:szCs w:val="28"/>
              </w:rPr>
            </w:pPr>
            <w:r>
              <w:rPr>
                <w:rFonts w:eastAsiaTheme="minorEastAsia"/>
                <w:b/>
                <w:sz w:val="28"/>
                <w:szCs w:val="28"/>
              </w:rPr>
              <w:t>在本项目的工作内容</w:t>
            </w:r>
          </w:p>
        </w:tc>
        <w:tc>
          <w:tcPr>
            <w:tcW w:w="1582" w:type="dxa"/>
          </w:tcPr>
          <w:p w14:paraId="606C413E">
            <w:pPr>
              <w:topLinePunct/>
              <w:spacing w:line="360" w:lineRule="auto"/>
              <w:jc w:val="center"/>
              <w:rPr>
                <w:rFonts w:eastAsiaTheme="minorEastAsia"/>
                <w:b/>
                <w:sz w:val="28"/>
                <w:szCs w:val="28"/>
              </w:rPr>
            </w:pPr>
            <w:r>
              <w:rPr>
                <w:rFonts w:eastAsiaTheme="minorEastAsia"/>
                <w:b/>
                <w:sz w:val="28"/>
                <w:szCs w:val="28"/>
              </w:rPr>
              <w:t>其它</w:t>
            </w:r>
          </w:p>
        </w:tc>
      </w:tr>
      <w:tr w14:paraId="66C6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tcPr>
          <w:p w14:paraId="1911F707">
            <w:pPr>
              <w:topLinePunct/>
              <w:spacing w:line="360" w:lineRule="auto"/>
              <w:jc w:val="center"/>
              <w:rPr>
                <w:rFonts w:eastAsiaTheme="minorEastAsia"/>
                <w:b/>
                <w:sz w:val="28"/>
                <w:szCs w:val="28"/>
              </w:rPr>
            </w:pPr>
          </w:p>
        </w:tc>
        <w:tc>
          <w:tcPr>
            <w:tcW w:w="1207" w:type="dxa"/>
          </w:tcPr>
          <w:p w14:paraId="5008D863">
            <w:pPr>
              <w:topLinePunct/>
              <w:spacing w:line="360" w:lineRule="auto"/>
              <w:jc w:val="center"/>
              <w:rPr>
                <w:rFonts w:eastAsiaTheme="minorEastAsia"/>
                <w:b/>
                <w:sz w:val="28"/>
                <w:szCs w:val="28"/>
              </w:rPr>
            </w:pPr>
          </w:p>
        </w:tc>
        <w:tc>
          <w:tcPr>
            <w:tcW w:w="1134" w:type="dxa"/>
          </w:tcPr>
          <w:p w14:paraId="7ADCD44B">
            <w:pPr>
              <w:topLinePunct/>
              <w:spacing w:line="360" w:lineRule="auto"/>
              <w:jc w:val="center"/>
              <w:rPr>
                <w:rFonts w:eastAsiaTheme="minorEastAsia"/>
                <w:b/>
                <w:sz w:val="28"/>
                <w:szCs w:val="28"/>
              </w:rPr>
            </w:pPr>
          </w:p>
        </w:tc>
        <w:tc>
          <w:tcPr>
            <w:tcW w:w="1134" w:type="dxa"/>
          </w:tcPr>
          <w:p w14:paraId="55D4A34F">
            <w:pPr>
              <w:topLinePunct/>
              <w:spacing w:line="360" w:lineRule="auto"/>
              <w:jc w:val="center"/>
              <w:rPr>
                <w:rFonts w:eastAsiaTheme="minorEastAsia"/>
                <w:b/>
                <w:sz w:val="28"/>
                <w:szCs w:val="28"/>
              </w:rPr>
            </w:pPr>
          </w:p>
        </w:tc>
        <w:tc>
          <w:tcPr>
            <w:tcW w:w="2976" w:type="dxa"/>
          </w:tcPr>
          <w:p w14:paraId="423DFE4F">
            <w:pPr>
              <w:topLinePunct/>
              <w:spacing w:line="360" w:lineRule="auto"/>
              <w:jc w:val="center"/>
              <w:rPr>
                <w:rFonts w:eastAsiaTheme="minorEastAsia"/>
                <w:b/>
                <w:sz w:val="28"/>
                <w:szCs w:val="28"/>
              </w:rPr>
            </w:pPr>
          </w:p>
        </w:tc>
        <w:tc>
          <w:tcPr>
            <w:tcW w:w="1582" w:type="dxa"/>
          </w:tcPr>
          <w:p w14:paraId="7D3AEDBD">
            <w:pPr>
              <w:topLinePunct/>
              <w:spacing w:line="360" w:lineRule="auto"/>
              <w:jc w:val="center"/>
              <w:rPr>
                <w:rFonts w:eastAsiaTheme="minorEastAsia"/>
                <w:b/>
                <w:sz w:val="28"/>
                <w:szCs w:val="28"/>
              </w:rPr>
            </w:pPr>
          </w:p>
        </w:tc>
      </w:tr>
      <w:tr w14:paraId="5BE65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tcPr>
          <w:p w14:paraId="395DD932">
            <w:pPr>
              <w:topLinePunct/>
              <w:spacing w:line="360" w:lineRule="auto"/>
              <w:jc w:val="center"/>
              <w:rPr>
                <w:rFonts w:eastAsiaTheme="minorEastAsia"/>
                <w:b/>
                <w:sz w:val="28"/>
                <w:szCs w:val="28"/>
              </w:rPr>
            </w:pPr>
          </w:p>
        </w:tc>
        <w:tc>
          <w:tcPr>
            <w:tcW w:w="1207" w:type="dxa"/>
          </w:tcPr>
          <w:p w14:paraId="458A9044">
            <w:pPr>
              <w:topLinePunct/>
              <w:spacing w:line="360" w:lineRule="auto"/>
              <w:jc w:val="center"/>
              <w:rPr>
                <w:rFonts w:eastAsiaTheme="minorEastAsia"/>
                <w:b/>
                <w:sz w:val="28"/>
                <w:szCs w:val="28"/>
              </w:rPr>
            </w:pPr>
          </w:p>
        </w:tc>
        <w:tc>
          <w:tcPr>
            <w:tcW w:w="1134" w:type="dxa"/>
          </w:tcPr>
          <w:p w14:paraId="7BB290F0">
            <w:pPr>
              <w:topLinePunct/>
              <w:spacing w:line="360" w:lineRule="auto"/>
              <w:jc w:val="center"/>
              <w:rPr>
                <w:rFonts w:eastAsiaTheme="minorEastAsia"/>
                <w:b/>
                <w:sz w:val="28"/>
                <w:szCs w:val="28"/>
              </w:rPr>
            </w:pPr>
          </w:p>
        </w:tc>
        <w:tc>
          <w:tcPr>
            <w:tcW w:w="1134" w:type="dxa"/>
          </w:tcPr>
          <w:p w14:paraId="52A7FA5C">
            <w:pPr>
              <w:topLinePunct/>
              <w:spacing w:line="360" w:lineRule="auto"/>
              <w:jc w:val="center"/>
              <w:rPr>
                <w:rFonts w:eastAsiaTheme="minorEastAsia"/>
                <w:b/>
                <w:sz w:val="28"/>
                <w:szCs w:val="28"/>
              </w:rPr>
            </w:pPr>
          </w:p>
        </w:tc>
        <w:tc>
          <w:tcPr>
            <w:tcW w:w="2976" w:type="dxa"/>
          </w:tcPr>
          <w:p w14:paraId="0920C70E">
            <w:pPr>
              <w:topLinePunct/>
              <w:spacing w:line="360" w:lineRule="auto"/>
              <w:jc w:val="center"/>
              <w:rPr>
                <w:rFonts w:eastAsiaTheme="minorEastAsia"/>
                <w:b/>
                <w:sz w:val="28"/>
                <w:szCs w:val="28"/>
              </w:rPr>
            </w:pPr>
          </w:p>
        </w:tc>
        <w:tc>
          <w:tcPr>
            <w:tcW w:w="1582" w:type="dxa"/>
          </w:tcPr>
          <w:p w14:paraId="7F0DEF54">
            <w:pPr>
              <w:topLinePunct/>
              <w:spacing w:line="360" w:lineRule="auto"/>
              <w:jc w:val="center"/>
              <w:rPr>
                <w:rFonts w:eastAsiaTheme="minorEastAsia"/>
                <w:b/>
                <w:sz w:val="28"/>
                <w:szCs w:val="28"/>
              </w:rPr>
            </w:pPr>
          </w:p>
        </w:tc>
      </w:tr>
      <w:tr w14:paraId="27BF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tcPr>
          <w:p w14:paraId="2FB3A389">
            <w:pPr>
              <w:topLinePunct/>
              <w:spacing w:line="360" w:lineRule="auto"/>
              <w:jc w:val="center"/>
              <w:rPr>
                <w:rFonts w:eastAsiaTheme="minorEastAsia"/>
                <w:b/>
                <w:sz w:val="28"/>
                <w:szCs w:val="28"/>
              </w:rPr>
            </w:pPr>
          </w:p>
        </w:tc>
        <w:tc>
          <w:tcPr>
            <w:tcW w:w="1207" w:type="dxa"/>
          </w:tcPr>
          <w:p w14:paraId="778840EA">
            <w:pPr>
              <w:topLinePunct/>
              <w:spacing w:line="360" w:lineRule="auto"/>
              <w:jc w:val="center"/>
              <w:rPr>
                <w:rFonts w:eastAsiaTheme="minorEastAsia"/>
                <w:b/>
                <w:sz w:val="28"/>
                <w:szCs w:val="28"/>
              </w:rPr>
            </w:pPr>
          </w:p>
        </w:tc>
        <w:tc>
          <w:tcPr>
            <w:tcW w:w="1134" w:type="dxa"/>
          </w:tcPr>
          <w:p w14:paraId="2BD8DA9B">
            <w:pPr>
              <w:topLinePunct/>
              <w:spacing w:line="360" w:lineRule="auto"/>
              <w:jc w:val="center"/>
              <w:rPr>
                <w:rFonts w:eastAsiaTheme="minorEastAsia"/>
                <w:b/>
                <w:sz w:val="28"/>
                <w:szCs w:val="28"/>
              </w:rPr>
            </w:pPr>
          </w:p>
        </w:tc>
        <w:tc>
          <w:tcPr>
            <w:tcW w:w="1134" w:type="dxa"/>
          </w:tcPr>
          <w:p w14:paraId="6CC2FBA0">
            <w:pPr>
              <w:topLinePunct/>
              <w:spacing w:line="360" w:lineRule="auto"/>
              <w:jc w:val="center"/>
              <w:rPr>
                <w:rFonts w:eastAsiaTheme="minorEastAsia"/>
                <w:b/>
                <w:sz w:val="28"/>
                <w:szCs w:val="28"/>
              </w:rPr>
            </w:pPr>
          </w:p>
        </w:tc>
        <w:tc>
          <w:tcPr>
            <w:tcW w:w="2976" w:type="dxa"/>
          </w:tcPr>
          <w:p w14:paraId="68C5AB51">
            <w:pPr>
              <w:topLinePunct/>
              <w:spacing w:line="360" w:lineRule="auto"/>
              <w:jc w:val="center"/>
              <w:rPr>
                <w:rFonts w:eastAsiaTheme="minorEastAsia"/>
                <w:b/>
                <w:sz w:val="28"/>
                <w:szCs w:val="28"/>
              </w:rPr>
            </w:pPr>
          </w:p>
        </w:tc>
        <w:tc>
          <w:tcPr>
            <w:tcW w:w="1582" w:type="dxa"/>
          </w:tcPr>
          <w:p w14:paraId="3612F9E0">
            <w:pPr>
              <w:topLinePunct/>
              <w:spacing w:line="360" w:lineRule="auto"/>
              <w:jc w:val="center"/>
              <w:rPr>
                <w:rFonts w:eastAsiaTheme="minorEastAsia"/>
                <w:b/>
                <w:sz w:val="28"/>
                <w:szCs w:val="28"/>
              </w:rPr>
            </w:pPr>
          </w:p>
        </w:tc>
      </w:tr>
      <w:tr w14:paraId="4E86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tcPr>
          <w:p w14:paraId="714F9391">
            <w:pPr>
              <w:topLinePunct/>
              <w:spacing w:line="360" w:lineRule="auto"/>
              <w:jc w:val="center"/>
              <w:rPr>
                <w:rFonts w:eastAsiaTheme="minorEastAsia"/>
                <w:b/>
                <w:sz w:val="28"/>
                <w:szCs w:val="28"/>
              </w:rPr>
            </w:pPr>
          </w:p>
        </w:tc>
        <w:tc>
          <w:tcPr>
            <w:tcW w:w="1207" w:type="dxa"/>
          </w:tcPr>
          <w:p w14:paraId="1B55A05D">
            <w:pPr>
              <w:topLinePunct/>
              <w:spacing w:line="360" w:lineRule="auto"/>
              <w:jc w:val="center"/>
              <w:rPr>
                <w:rFonts w:eastAsiaTheme="minorEastAsia"/>
                <w:b/>
                <w:sz w:val="28"/>
                <w:szCs w:val="28"/>
              </w:rPr>
            </w:pPr>
          </w:p>
        </w:tc>
        <w:tc>
          <w:tcPr>
            <w:tcW w:w="1134" w:type="dxa"/>
          </w:tcPr>
          <w:p w14:paraId="0AD2E2AB">
            <w:pPr>
              <w:topLinePunct/>
              <w:spacing w:line="360" w:lineRule="auto"/>
              <w:jc w:val="center"/>
              <w:rPr>
                <w:rFonts w:eastAsiaTheme="minorEastAsia"/>
                <w:b/>
                <w:sz w:val="28"/>
                <w:szCs w:val="28"/>
              </w:rPr>
            </w:pPr>
          </w:p>
        </w:tc>
        <w:tc>
          <w:tcPr>
            <w:tcW w:w="1134" w:type="dxa"/>
          </w:tcPr>
          <w:p w14:paraId="72563FA7">
            <w:pPr>
              <w:topLinePunct/>
              <w:spacing w:line="360" w:lineRule="auto"/>
              <w:jc w:val="center"/>
              <w:rPr>
                <w:rFonts w:eastAsiaTheme="minorEastAsia"/>
                <w:b/>
                <w:sz w:val="28"/>
                <w:szCs w:val="28"/>
              </w:rPr>
            </w:pPr>
          </w:p>
        </w:tc>
        <w:tc>
          <w:tcPr>
            <w:tcW w:w="2976" w:type="dxa"/>
          </w:tcPr>
          <w:p w14:paraId="594008B6">
            <w:pPr>
              <w:topLinePunct/>
              <w:spacing w:line="360" w:lineRule="auto"/>
              <w:jc w:val="center"/>
              <w:rPr>
                <w:rFonts w:eastAsiaTheme="minorEastAsia"/>
                <w:b/>
                <w:sz w:val="28"/>
                <w:szCs w:val="28"/>
              </w:rPr>
            </w:pPr>
          </w:p>
        </w:tc>
        <w:tc>
          <w:tcPr>
            <w:tcW w:w="1582" w:type="dxa"/>
          </w:tcPr>
          <w:p w14:paraId="79969023">
            <w:pPr>
              <w:topLinePunct/>
              <w:spacing w:line="360" w:lineRule="auto"/>
              <w:jc w:val="center"/>
              <w:rPr>
                <w:rFonts w:eastAsiaTheme="minorEastAsia"/>
                <w:b/>
                <w:sz w:val="28"/>
                <w:szCs w:val="28"/>
              </w:rPr>
            </w:pPr>
          </w:p>
        </w:tc>
      </w:tr>
      <w:tr w14:paraId="5959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8" w:type="dxa"/>
          </w:tcPr>
          <w:p w14:paraId="377E830A">
            <w:pPr>
              <w:topLinePunct/>
              <w:spacing w:line="360" w:lineRule="auto"/>
              <w:jc w:val="center"/>
              <w:rPr>
                <w:rFonts w:eastAsiaTheme="minorEastAsia"/>
                <w:b/>
                <w:sz w:val="28"/>
                <w:szCs w:val="28"/>
              </w:rPr>
            </w:pPr>
          </w:p>
        </w:tc>
        <w:tc>
          <w:tcPr>
            <w:tcW w:w="1207" w:type="dxa"/>
          </w:tcPr>
          <w:p w14:paraId="48B4529B">
            <w:pPr>
              <w:topLinePunct/>
              <w:spacing w:line="360" w:lineRule="auto"/>
              <w:jc w:val="center"/>
              <w:rPr>
                <w:rFonts w:eastAsiaTheme="minorEastAsia"/>
                <w:b/>
                <w:sz w:val="28"/>
                <w:szCs w:val="28"/>
              </w:rPr>
            </w:pPr>
          </w:p>
        </w:tc>
        <w:tc>
          <w:tcPr>
            <w:tcW w:w="1134" w:type="dxa"/>
          </w:tcPr>
          <w:p w14:paraId="7F6D9225">
            <w:pPr>
              <w:topLinePunct/>
              <w:spacing w:line="360" w:lineRule="auto"/>
              <w:jc w:val="center"/>
              <w:rPr>
                <w:rFonts w:eastAsiaTheme="minorEastAsia"/>
                <w:b/>
                <w:sz w:val="28"/>
                <w:szCs w:val="28"/>
              </w:rPr>
            </w:pPr>
          </w:p>
        </w:tc>
        <w:tc>
          <w:tcPr>
            <w:tcW w:w="1134" w:type="dxa"/>
          </w:tcPr>
          <w:p w14:paraId="6E2E2F5B">
            <w:pPr>
              <w:topLinePunct/>
              <w:spacing w:line="360" w:lineRule="auto"/>
              <w:jc w:val="center"/>
              <w:rPr>
                <w:rFonts w:eastAsiaTheme="minorEastAsia"/>
                <w:b/>
                <w:sz w:val="28"/>
                <w:szCs w:val="28"/>
              </w:rPr>
            </w:pPr>
          </w:p>
        </w:tc>
        <w:tc>
          <w:tcPr>
            <w:tcW w:w="2976" w:type="dxa"/>
          </w:tcPr>
          <w:p w14:paraId="148E2A76">
            <w:pPr>
              <w:topLinePunct/>
              <w:spacing w:line="360" w:lineRule="auto"/>
              <w:jc w:val="center"/>
              <w:rPr>
                <w:rFonts w:eastAsiaTheme="minorEastAsia"/>
                <w:b/>
                <w:sz w:val="28"/>
                <w:szCs w:val="28"/>
              </w:rPr>
            </w:pPr>
          </w:p>
        </w:tc>
        <w:tc>
          <w:tcPr>
            <w:tcW w:w="1582" w:type="dxa"/>
          </w:tcPr>
          <w:p w14:paraId="2C0AFE6A">
            <w:pPr>
              <w:topLinePunct/>
              <w:spacing w:line="360" w:lineRule="auto"/>
              <w:jc w:val="center"/>
              <w:rPr>
                <w:rFonts w:eastAsiaTheme="minorEastAsia"/>
                <w:b/>
                <w:sz w:val="28"/>
                <w:szCs w:val="28"/>
              </w:rPr>
            </w:pPr>
          </w:p>
        </w:tc>
      </w:tr>
    </w:tbl>
    <w:p w14:paraId="679B8F37">
      <w:pPr>
        <w:topLinePunct/>
        <w:spacing w:line="360" w:lineRule="auto"/>
        <w:rPr>
          <w:rFonts w:eastAsiaTheme="minorEastAsia"/>
          <w:sz w:val="28"/>
          <w:szCs w:val="28"/>
        </w:rPr>
      </w:pPr>
      <w:r>
        <w:rPr>
          <w:rFonts w:eastAsiaTheme="minorEastAsia"/>
          <w:sz w:val="28"/>
          <w:szCs w:val="28"/>
        </w:rPr>
        <w:t>注：提供人员所需证明材料详见综合评分表。</w:t>
      </w:r>
    </w:p>
    <w:p w14:paraId="41F1E72B">
      <w:pPr>
        <w:topLinePunct/>
        <w:spacing w:line="360" w:lineRule="auto"/>
        <w:jc w:val="center"/>
        <w:rPr>
          <w:rFonts w:eastAsiaTheme="minorEastAsia"/>
          <w:b/>
          <w:sz w:val="28"/>
          <w:szCs w:val="28"/>
        </w:rPr>
      </w:pPr>
    </w:p>
    <w:p w14:paraId="583E191A">
      <w:pPr>
        <w:topLinePunct/>
        <w:spacing w:line="360" w:lineRule="auto"/>
        <w:jc w:val="center"/>
        <w:rPr>
          <w:rFonts w:eastAsiaTheme="minorEastAsia"/>
          <w:b/>
          <w:sz w:val="28"/>
          <w:szCs w:val="28"/>
        </w:rPr>
      </w:pPr>
    </w:p>
    <w:p w14:paraId="4C39444A">
      <w:pPr>
        <w:topLinePunct/>
        <w:spacing w:line="360" w:lineRule="auto"/>
        <w:jc w:val="center"/>
        <w:rPr>
          <w:rFonts w:eastAsiaTheme="minorEastAsia"/>
          <w:b/>
          <w:sz w:val="28"/>
          <w:szCs w:val="28"/>
        </w:rPr>
      </w:pPr>
    </w:p>
    <w:p w14:paraId="431C8302">
      <w:pPr>
        <w:topLinePunct/>
        <w:spacing w:line="360" w:lineRule="auto"/>
        <w:jc w:val="center"/>
        <w:rPr>
          <w:rFonts w:eastAsiaTheme="minorEastAsia"/>
          <w:b/>
          <w:sz w:val="28"/>
          <w:szCs w:val="28"/>
        </w:rPr>
      </w:pPr>
    </w:p>
    <w:p w14:paraId="09DA7065">
      <w:pPr>
        <w:topLinePunct/>
        <w:spacing w:line="360" w:lineRule="auto"/>
        <w:jc w:val="center"/>
        <w:rPr>
          <w:rFonts w:eastAsiaTheme="minorEastAsia"/>
          <w:b/>
          <w:sz w:val="28"/>
          <w:szCs w:val="28"/>
        </w:rPr>
      </w:pPr>
    </w:p>
    <w:p w14:paraId="39320B1A">
      <w:pPr>
        <w:topLinePunct/>
        <w:spacing w:line="360" w:lineRule="auto"/>
        <w:jc w:val="center"/>
        <w:rPr>
          <w:rFonts w:eastAsiaTheme="minorEastAsia"/>
          <w:b/>
          <w:sz w:val="28"/>
          <w:szCs w:val="28"/>
        </w:rPr>
      </w:pPr>
    </w:p>
    <w:p w14:paraId="2049801D">
      <w:pPr>
        <w:topLinePunct/>
        <w:spacing w:line="360" w:lineRule="auto"/>
        <w:jc w:val="center"/>
        <w:rPr>
          <w:rFonts w:eastAsiaTheme="minorEastAsia"/>
          <w:b/>
          <w:sz w:val="28"/>
          <w:szCs w:val="28"/>
        </w:rPr>
      </w:pPr>
    </w:p>
    <w:p w14:paraId="1DB606B4">
      <w:pPr>
        <w:topLinePunct/>
        <w:spacing w:line="360" w:lineRule="auto"/>
        <w:jc w:val="center"/>
        <w:rPr>
          <w:rFonts w:eastAsiaTheme="minorEastAsia"/>
          <w:b/>
          <w:sz w:val="28"/>
          <w:szCs w:val="28"/>
        </w:rPr>
      </w:pPr>
    </w:p>
    <w:p w14:paraId="5A11DBC3">
      <w:pPr>
        <w:topLinePunct/>
        <w:spacing w:line="360" w:lineRule="auto"/>
        <w:jc w:val="center"/>
        <w:rPr>
          <w:rFonts w:eastAsiaTheme="minorEastAsia"/>
          <w:b/>
          <w:sz w:val="28"/>
          <w:szCs w:val="28"/>
        </w:rPr>
      </w:pPr>
    </w:p>
    <w:p w14:paraId="3B79D176">
      <w:pPr>
        <w:topLinePunct/>
        <w:spacing w:line="360" w:lineRule="auto"/>
        <w:jc w:val="center"/>
        <w:rPr>
          <w:rFonts w:eastAsiaTheme="minorEastAsia"/>
          <w:b/>
          <w:sz w:val="28"/>
          <w:szCs w:val="28"/>
        </w:rPr>
      </w:pPr>
    </w:p>
    <w:p w14:paraId="134C0696">
      <w:pPr>
        <w:topLinePunct/>
        <w:spacing w:line="360" w:lineRule="auto"/>
        <w:jc w:val="center"/>
        <w:rPr>
          <w:rFonts w:eastAsiaTheme="minorEastAsia"/>
          <w:b/>
          <w:sz w:val="28"/>
          <w:szCs w:val="28"/>
        </w:rPr>
      </w:pPr>
    </w:p>
    <w:p w14:paraId="7808F0E8">
      <w:pPr>
        <w:topLinePunct/>
        <w:spacing w:line="360" w:lineRule="auto"/>
        <w:jc w:val="center"/>
        <w:rPr>
          <w:rFonts w:eastAsiaTheme="minorEastAsia"/>
          <w:b/>
          <w:sz w:val="28"/>
          <w:szCs w:val="28"/>
        </w:rPr>
      </w:pPr>
    </w:p>
    <w:p w14:paraId="4DAAA8D0">
      <w:pPr>
        <w:topLinePunct/>
        <w:spacing w:line="360" w:lineRule="auto"/>
        <w:jc w:val="center"/>
        <w:rPr>
          <w:rFonts w:eastAsiaTheme="minorEastAsia"/>
          <w:b/>
          <w:sz w:val="28"/>
          <w:szCs w:val="28"/>
        </w:rPr>
      </w:pPr>
    </w:p>
    <w:p w14:paraId="6EF3FC73">
      <w:pPr>
        <w:topLinePunct/>
        <w:spacing w:line="360" w:lineRule="auto"/>
        <w:jc w:val="center"/>
        <w:rPr>
          <w:rFonts w:eastAsiaTheme="minorEastAsia"/>
          <w:bCs/>
          <w:sz w:val="28"/>
          <w:szCs w:val="28"/>
        </w:rPr>
      </w:pPr>
      <w:r>
        <w:rPr>
          <w:rFonts w:eastAsiaTheme="minorEastAsia"/>
          <w:bCs/>
          <w:sz w:val="28"/>
          <w:szCs w:val="28"/>
        </w:rPr>
        <w:t>七、服务方案</w:t>
      </w:r>
    </w:p>
    <w:p w14:paraId="317B483D">
      <w:pPr>
        <w:topLinePunct/>
        <w:spacing w:line="360" w:lineRule="auto"/>
        <w:jc w:val="center"/>
        <w:rPr>
          <w:rFonts w:eastAsiaTheme="minorEastAsia"/>
          <w:bCs/>
          <w:sz w:val="28"/>
          <w:szCs w:val="28"/>
        </w:rPr>
      </w:pPr>
      <w:r>
        <w:rPr>
          <w:rFonts w:eastAsiaTheme="minorEastAsia"/>
          <w:bCs/>
          <w:sz w:val="28"/>
          <w:szCs w:val="28"/>
        </w:rPr>
        <w:t>(格式自拟)</w:t>
      </w:r>
    </w:p>
    <w:p w14:paraId="2BEF9CF4">
      <w:pPr>
        <w:topLinePunct/>
        <w:spacing w:line="360" w:lineRule="auto"/>
        <w:jc w:val="center"/>
        <w:rPr>
          <w:rFonts w:eastAsiaTheme="minorEastAsia"/>
          <w:bCs/>
          <w:sz w:val="28"/>
          <w:szCs w:val="28"/>
        </w:rPr>
      </w:pPr>
    </w:p>
    <w:p w14:paraId="2D573817">
      <w:pPr>
        <w:topLinePunct/>
        <w:spacing w:line="360" w:lineRule="auto"/>
        <w:jc w:val="center"/>
        <w:rPr>
          <w:rFonts w:eastAsiaTheme="minorEastAsia"/>
          <w:bCs/>
          <w:sz w:val="28"/>
          <w:szCs w:val="28"/>
        </w:rPr>
      </w:pPr>
    </w:p>
    <w:p w14:paraId="170262D4">
      <w:pPr>
        <w:topLinePunct/>
        <w:spacing w:line="360" w:lineRule="auto"/>
        <w:jc w:val="center"/>
        <w:rPr>
          <w:rFonts w:eastAsiaTheme="minorEastAsia"/>
          <w:bCs/>
          <w:sz w:val="28"/>
          <w:szCs w:val="28"/>
        </w:rPr>
      </w:pPr>
    </w:p>
    <w:p w14:paraId="3EFEAF8E">
      <w:pPr>
        <w:topLinePunct/>
        <w:spacing w:line="360" w:lineRule="auto"/>
        <w:jc w:val="center"/>
        <w:rPr>
          <w:rFonts w:eastAsiaTheme="minorEastAsia"/>
          <w:bCs/>
          <w:sz w:val="28"/>
          <w:szCs w:val="28"/>
        </w:rPr>
      </w:pPr>
    </w:p>
    <w:p w14:paraId="7DD26277">
      <w:pPr>
        <w:topLinePunct/>
        <w:spacing w:line="360" w:lineRule="auto"/>
        <w:jc w:val="center"/>
        <w:rPr>
          <w:rFonts w:eastAsiaTheme="minorEastAsia"/>
          <w:bCs/>
          <w:sz w:val="28"/>
          <w:szCs w:val="28"/>
        </w:rPr>
      </w:pPr>
    </w:p>
    <w:p w14:paraId="12BA47B7">
      <w:pPr>
        <w:topLinePunct/>
        <w:spacing w:line="360" w:lineRule="auto"/>
        <w:jc w:val="center"/>
        <w:rPr>
          <w:rFonts w:eastAsiaTheme="minorEastAsia"/>
          <w:bCs/>
          <w:sz w:val="28"/>
          <w:szCs w:val="28"/>
        </w:rPr>
      </w:pPr>
    </w:p>
    <w:p w14:paraId="7BC7B82E">
      <w:pPr>
        <w:topLinePunct/>
        <w:spacing w:line="360" w:lineRule="auto"/>
        <w:jc w:val="center"/>
        <w:rPr>
          <w:rFonts w:eastAsiaTheme="minorEastAsia"/>
          <w:bCs/>
          <w:sz w:val="28"/>
          <w:szCs w:val="28"/>
        </w:rPr>
      </w:pPr>
    </w:p>
    <w:p w14:paraId="6E41D1CF">
      <w:pPr>
        <w:topLinePunct/>
        <w:spacing w:line="360" w:lineRule="auto"/>
        <w:jc w:val="center"/>
        <w:rPr>
          <w:rFonts w:eastAsiaTheme="minorEastAsia"/>
          <w:bCs/>
          <w:sz w:val="28"/>
          <w:szCs w:val="28"/>
        </w:rPr>
      </w:pPr>
    </w:p>
    <w:p w14:paraId="61614E61">
      <w:pPr>
        <w:topLinePunct/>
        <w:spacing w:line="360" w:lineRule="auto"/>
        <w:jc w:val="center"/>
        <w:rPr>
          <w:rFonts w:eastAsiaTheme="minorEastAsia"/>
          <w:bCs/>
          <w:sz w:val="28"/>
          <w:szCs w:val="28"/>
        </w:rPr>
      </w:pPr>
    </w:p>
    <w:p w14:paraId="72330DBF">
      <w:pPr>
        <w:topLinePunct/>
        <w:spacing w:line="360" w:lineRule="auto"/>
        <w:jc w:val="center"/>
        <w:rPr>
          <w:rFonts w:eastAsiaTheme="minorEastAsia"/>
          <w:bCs/>
          <w:sz w:val="28"/>
          <w:szCs w:val="28"/>
        </w:rPr>
      </w:pPr>
    </w:p>
    <w:p w14:paraId="5BD696C1">
      <w:pPr>
        <w:topLinePunct/>
        <w:spacing w:line="360" w:lineRule="auto"/>
        <w:jc w:val="center"/>
        <w:rPr>
          <w:rFonts w:eastAsiaTheme="minorEastAsia"/>
          <w:bCs/>
          <w:sz w:val="28"/>
          <w:szCs w:val="28"/>
        </w:rPr>
      </w:pPr>
    </w:p>
    <w:p w14:paraId="02CCF4B1">
      <w:pPr>
        <w:topLinePunct/>
        <w:spacing w:line="360" w:lineRule="auto"/>
        <w:jc w:val="center"/>
        <w:rPr>
          <w:rFonts w:eastAsiaTheme="minorEastAsia"/>
          <w:bCs/>
          <w:sz w:val="28"/>
          <w:szCs w:val="28"/>
        </w:rPr>
      </w:pPr>
    </w:p>
    <w:p w14:paraId="6422D4F1">
      <w:pPr>
        <w:topLinePunct/>
        <w:spacing w:line="360" w:lineRule="auto"/>
        <w:jc w:val="center"/>
        <w:rPr>
          <w:rFonts w:eastAsiaTheme="minorEastAsia"/>
          <w:bCs/>
          <w:sz w:val="28"/>
          <w:szCs w:val="28"/>
        </w:rPr>
      </w:pPr>
    </w:p>
    <w:p w14:paraId="25A26EAA">
      <w:pPr>
        <w:topLinePunct/>
        <w:spacing w:line="360" w:lineRule="auto"/>
        <w:jc w:val="center"/>
        <w:rPr>
          <w:rFonts w:eastAsiaTheme="minorEastAsia"/>
          <w:bCs/>
          <w:sz w:val="28"/>
          <w:szCs w:val="28"/>
        </w:rPr>
      </w:pPr>
    </w:p>
    <w:p w14:paraId="35F09C59">
      <w:pPr>
        <w:topLinePunct/>
        <w:spacing w:line="360" w:lineRule="auto"/>
        <w:jc w:val="center"/>
        <w:rPr>
          <w:rFonts w:eastAsiaTheme="minorEastAsia"/>
          <w:bCs/>
          <w:sz w:val="28"/>
          <w:szCs w:val="28"/>
        </w:rPr>
      </w:pPr>
    </w:p>
    <w:p w14:paraId="40DB3BF0">
      <w:pPr>
        <w:topLinePunct/>
        <w:spacing w:line="360" w:lineRule="auto"/>
        <w:jc w:val="center"/>
        <w:rPr>
          <w:rFonts w:eastAsiaTheme="minorEastAsia"/>
          <w:bCs/>
          <w:sz w:val="28"/>
          <w:szCs w:val="28"/>
        </w:rPr>
      </w:pPr>
    </w:p>
    <w:p w14:paraId="45E2B7F4">
      <w:pPr>
        <w:topLinePunct/>
        <w:spacing w:line="360" w:lineRule="auto"/>
        <w:jc w:val="center"/>
        <w:rPr>
          <w:rFonts w:eastAsiaTheme="minorEastAsia"/>
          <w:bCs/>
          <w:sz w:val="28"/>
          <w:szCs w:val="28"/>
        </w:rPr>
      </w:pPr>
    </w:p>
    <w:p w14:paraId="7C607341">
      <w:pPr>
        <w:topLinePunct/>
        <w:spacing w:line="360" w:lineRule="auto"/>
        <w:jc w:val="center"/>
        <w:rPr>
          <w:rFonts w:eastAsiaTheme="minorEastAsia"/>
          <w:bCs/>
          <w:sz w:val="28"/>
          <w:szCs w:val="28"/>
        </w:rPr>
      </w:pPr>
    </w:p>
    <w:p w14:paraId="528EB11A">
      <w:pPr>
        <w:topLinePunct/>
        <w:spacing w:line="360" w:lineRule="auto"/>
        <w:jc w:val="center"/>
        <w:rPr>
          <w:rFonts w:eastAsiaTheme="minorEastAsia"/>
          <w:bCs/>
          <w:sz w:val="28"/>
          <w:szCs w:val="28"/>
        </w:rPr>
      </w:pPr>
    </w:p>
    <w:p w14:paraId="4B61276C">
      <w:pPr>
        <w:topLinePunct/>
        <w:spacing w:line="360" w:lineRule="auto"/>
        <w:jc w:val="center"/>
        <w:rPr>
          <w:rFonts w:eastAsiaTheme="minorEastAsia"/>
          <w:bCs/>
          <w:sz w:val="28"/>
          <w:szCs w:val="28"/>
        </w:rPr>
      </w:pPr>
    </w:p>
    <w:p w14:paraId="6AF6255E">
      <w:pPr>
        <w:topLinePunct/>
        <w:spacing w:line="360" w:lineRule="auto"/>
        <w:jc w:val="center"/>
        <w:rPr>
          <w:rFonts w:eastAsiaTheme="minorEastAsia"/>
          <w:bCs/>
          <w:sz w:val="28"/>
          <w:szCs w:val="28"/>
        </w:rPr>
      </w:pPr>
      <w:r>
        <w:rPr>
          <w:rFonts w:eastAsiaTheme="minorEastAsia"/>
          <w:bCs/>
          <w:sz w:val="28"/>
          <w:szCs w:val="28"/>
        </w:rPr>
        <w:t>八、其他</w:t>
      </w:r>
    </w:p>
    <w:p w14:paraId="2AB1FC62">
      <w:pPr>
        <w:topLinePunct/>
        <w:spacing w:line="360" w:lineRule="auto"/>
        <w:jc w:val="center"/>
        <w:rPr>
          <w:rFonts w:eastAsiaTheme="minorEastAsia"/>
          <w:bCs/>
          <w:sz w:val="28"/>
          <w:szCs w:val="28"/>
        </w:rPr>
      </w:pPr>
      <w:r>
        <w:rPr>
          <w:rFonts w:eastAsiaTheme="minorEastAsia"/>
          <w:bCs/>
          <w:sz w:val="28"/>
          <w:szCs w:val="28"/>
        </w:rPr>
        <w:t>(比选文件要求的其他内容，格式自拟)</w:t>
      </w:r>
    </w:p>
    <w:sectPr>
      <w:footerReference r:id="rId5" w:type="default"/>
      <w:pgSz w:w="11906" w:h="16838"/>
      <w:pgMar w:top="1258" w:right="1474" w:bottom="147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6285B">
    <w:pPr>
      <w:pStyle w:val="12"/>
      <w:jc w:val="center"/>
      <w:rPr>
        <w:rFonts w:eastAsia="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79705" cy="139700"/>
              <wp:effectExtent l="0" t="0" r="10795" b="1270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79705" cy="139700"/>
                      </a:xfrm>
                      <a:prstGeom prst="rect">
                        <a:avLst/>
                      </a:prstGeom>
                      <a:noFill/>
                      <a:ln>
                        <a:noFill/>
                      </a:ln>
                    </wps:spPr>
                    <wps:txbx>
                      <w:txbxContent>
                        <w:p w14:paraId="0189781F">
                          <w:pPr>
                            <w:pStyle w:val="12"/>
                            <w:rPr>
                              <w:rFonts w:eastAsia="宋体"/>
                            </w:rPr>
                          </w:pPr>
                          <w:r>
                            <w:fldChar w:fldCharType="begin"/>
                          </w:r>
                          <w:r>
                            <w:instrText xml:space="preserve"> PAGE  \* MERGEFORMAT </w:instrText>
                          </w:r>
                          <w:r>
                            <w:fldChar w:fldCharType="separate"/>
                          </w:r>
                          <w:r>
                            <w:t>- 2 -</w:t>
                          </w:r>
                          <w: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pt;width:14.15pt;mso-position-horizontal:center;mso-position-horizontal-relative:margin;mso-wrap-style:none;z-index:251659264;mso-width-relative:page;mso-height-relative:page;" filled="f" stroked="f" coordsize="21600,21600" o:gfxdata="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qRZ6x0AAAAAMBAAAPAAAAAAAAAAEAIAAAACIAAABkcnMvZG93&#10;bnJldi54bWxQSwECFAAUAAAACACHTuJAn/g5SwgCAAACBAAADgAAAAAAAAABACAAAAAfAQAAZHJz&#10;L2Uyb0RvYy54bWxQSwUGAAAAAAYABgBZAQAAmQUAAAAA&#10;">
              <v:fill on="f" focussize="0,0"/>
              <v:stroke on="f"/>
              <v:imagedata o:title=""/>
              <o:lock v:ext="edit" aspectratio="f"/>
              <v:textbox inset="0mm,0mm,0mm,0mm" style="mso-fit-shape-to-text:t;">
                <w:txbxContent>
                  <w:p w14:paraId="0189781F">
                    <w:pPr>
                      <w:pStyle w:val="12"/>
                      <w:rPr>
                        <w:rFonts w:eastAsia="宋体"/>
                      </w:rPr>
                    </w:pPr>
                    <w:r>
                      <w:fldChar w:fldCharType="begin"/>
                    </w:r>
                    <w:r>
                      <w:instrText xml:space="preserve"> PAGE  \* MERGEFORMAT </w:instrText>
                    </w:r>
                    <w:r>
                      <w:fldChar w:fldCharType="separate"/>
                    </w:r>
                    <w:r>
                      <w:t>- 2 -</w:t>
                    </w:r>
                    <w:r>
                      <w:fldChar w:fldCharType="end"/>
                    </w:r>
                  </w:p>
                </w:txbxContent>
              </v:textbox>
            </v:shape>
          </w:pict>
        </mc:Fallback>
      </mc:AlternateContent>
    </w:r>
    <w:r>
      <w:rPr>
        <w:rFonts w:hint="eastAsia"/>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A76E2">
    <w:pPr>
      <w:pStyle w:val="1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247650" cy="131445"/>
              <wp:effectExtent l="0" t="0" r="0" b="1905"/>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247650" cy="131445"/>
                      </a:xfrm>
                      <a:prstGeom prst="rect">
                        <a:avLst/>
                      </a:prstGeom>
                      <a:noFill/>
                      <a:ln>
                        <a:noFill/>
                      </a:ln>
                    </wps:spPr>
                    <wps:txbx>
                      <w:txbxContent>
                        <w:p w14:paraId="25254D4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- 22 -</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0.35pt;width:19.5pt;mso-position-horizontal:center;mso-position-horizontal-relative:margin;mso-wrap-style:none;z-index:251660288;mso-width-relative:page;mso-height-relative:page;" filled="f" stroked="f" coordsize="21600,21600" o:gfxdata="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XsUjg0AAAAAMBAAAPAAAAAAAAAAEAIAAAACIAAABkcnMvZG93&#10;bnJldi54bWxQSwECFAAUAAAACACHTuJAyJ2xmQgCAAACBAAADgAAAAAAAAABACAAAAAfAQAAZHJz&#10;L2Uyb0RvYy54bWxQSwUGAAAAAAYABgBZAQAAmQUAAAAA&#10;">
              <v:fill on="f" focussize="0,0"/>
              <v:stroke on="f"/>
              <v:imagedata o:title=""/>
              <o:lock v:ext="edit" aspectratio="f"/>
              <v:textbox inset="0mm,0mm,0mm,0mm" style="mso-fit-shape-to-text:t;">
                <w:txbxContent>
                  <w:p w14:paraId="25254D4D">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- 22 -</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86AD5">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1249FC"/>
    <w:multiLevelType w:val="multilevel"/>
    <w:tmpl w:val="041249FC"/>
    <w:lvl w:ilvl="0" w:tentative="0">
      <w:start w:val="1"/>
      <w:numFmt w:val="japaneseCounting"/>
      <w:lvlText w:val="%1、"/>
      <w:lvlJc w:val="left"/>
      <w:pPr>
        <w:ind w:left="1202" w:hanging="72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E7B"/>
    <w:rsid w:val="00000104"/>
    <w:rsid w:val="00001C74"/>
    <w:rsid w:val="00005B21"/>
    <w:rsid w:val="00006201"/>
    <w:rsid w:val="00012046"/>
    <w:rsid w:val="00012561"/>
    <w:rsid w:val="000144E1"/>
    <w:rsid w:val="000153A4"/>
    <w:rsid w:val="00016349"/>
    <w:rsid w:val="000171EB"/>
    <w:rsid w:val="000305BA"/>
    <w:rsid w:val="00032CE0"/>
    <w:rsid w:val="00032F8C"/>
    <w:rsid w:val="00037176"/>
    <w:rsid w:val="00043E1D"/>
    <w:rsid w:val="00046B93"/>
    <w:rsid w:val="000475DD"/>
    <w:rsid w:val="00050AB2"/>
    <w:rsid w:val="00055806"/>
    <w:rsid w:val="000560D6"/>
    <w:rsid w:val="00060778"/>
    <w:rsid w:val="00065D80"/>
    <w:rsid w:val="0006699C"/>
    <w:rsid w:val="000678FC"/>
    <w:rsid w:val="00070BB6"/>
    <w:rsid w:val="00071371"/>
    <w:rsid w:val="00082E94"/>
    <w:rsid w:val="000911A6"/>
    <w:rsid w:val="0009256B"/>
    <w:rsid w:val="00093B0C"/>
    <w:rsid w:val="00095F31"/>
    <w:rsid w:val="000A2562"/>
    <w:rsid w:val="000A2683"/>
    <w:rsid w:val="000B35F8"/>
    <w:rsid w:val="000B366D"/>
    <w:rsid w:val="000B4DFA"/>
    <w:rsid w:val="000B6B2E"/>
    <w:rsid w:val="000B7773"/>
    <w:rsid w:val="000B7E9E"/>
    <w:rsid w:val="000C0323"/>
    <w:rsid w:val="000C1204"/>
    <w:rsid w:val="000C1A55"/>
    <w:rsid w:val="000C2847"/>
    <w:rsid w:val="000C69A9"/>
    <w:rsid w:val="000D0DE9"/>
    <w:rsid w:val="000D5012"/>
    <w:rsid w:val="000D5374"/>
    <w:rsid w:val="000D6A67"/>
    <w:rsid w:val="000E27B0"/>
    <w:rsid w:val="000E400C"/>
    <w:rsid w:val="000E4C32"/>
    <w:rsid w:val="000E6042"/>
    <w:rsid w:val="000E6E15"/>
    <w:rsid w:val="000F253B"/>
    <w:rsid w:val="000F43A3"/>
    <w:rsid w:val="000F4940"/>
    <w:rsid w:val="000F58AD"/>
    <w:rsid w:val="000F5ADF"/>
    <w:rsid w:val="000F6513"/>
    <w:rsid w:val="0010193D"/>
    <w:rsid w:val="00107ED1"/>
    <w:rsid w:val="001117BA"/>
    <w:rsid w:val="00112BF2"/>
    <w:rsid w:val="00112C96"/>
    <w:rsid w:val="00112F7C"/>
    <w:rsid w:val="00116311"/>
    <w:rsid w:val="001213FD"/>
    <w:rsid w:val="0012296B"/>
    <w:rsid w:val="001319D0"/>
    <w:rsid w:val="0013756F"/>
    <w:rsid w:val="00145DD1"/>
    <w:rsid w:val="00146F50"/>
    <w:rsid w:val="001501FF"/>
    <w:rsid w:val="00151B93"/>
    <w:rsid w:val="0016041A"/>
    <w:rsid w:val="001613AE"/>
    <w:rsid w:val="0016318A"/>
    <w:rsid w:val="001639E6"/>
    <w:rsid w:val="0016448C"/>
    <w:rsid w:val="001716AA"/>
    <w:rsid w:val="001718E0"/>
    <w:rsid w:val="001774BA"/>
    <w:rsid w:val="001830E3"/>
    <w:rsid w:val="00183388"/>
    <w:rsid w:val="00187446"/>
    <w:rsid w:val="001918D6"/>
    <w:rsid w:val="001A23B9"/>
    <w:rsid w:val="001A4E3E"/>
    <w:rsid w:val="001A51E0"/>
    <w:rsid w:val="001B10E4"/>
    <w:rsid w:val="001B7B1F"/>
    <w:rsid w:val="001B7FCF"/>
    <w:rsid w:val="001C5A33"/>
    <w:rsid w:val="001C799F"/>
    <w:rsid w:val="001D337C"/>
    <w:rsid w:val="001D5B6A"/>
    <w:rsid w:val="001D6915"/>
    <w:rsid w:val="001D7B17"/>
    <w:rsid w:val="001E09EC"/>
    <w:rsid w:val="001E360F"/>
    <w:rsid w:val="001E5525"/>
    <w:rsid w:val="001F0889"/>
    <w:rsid w:val="001F23CD"/>
    <w:rsid w:val="001F66F7"/>
    <w:rsid w:val="00213801"/>
    <w:rsid w:val="00217D04"/>
    <w:rsid w:val="00217E95"/>
    <w:rsid w:val="002245E5"/>
    <w:rsid w:val="002329C0"/>
    <w:rsid w:val="00234EB0"/>
    <w:rsid w:val="00235A22"/>
    <w:rsid w:val="00236AB5"/>
    <w:rsid w:val="00240935"/>
    <w:rsid w:val="002436D9"/>
    <w:rsid w:val="002454D4"/>
    <w:rsid w:val="002456C5"/>
    <w:rsid w:val="00250A9A"/>
    <w:rsid w:val="00254D4B"/>
    <w:rsid w:val="00262B53"/>
    <w:rsid w:val="00263540"/>
    <w:rsid w:val="0026623F"/>
    <w:rsid w:val="002770F7"/>
    <w:rsid w:val="00291E34"/>
    <w:rsid w:val="00293F88"/>
    <w:rsid w:val="00294F5F"/>
    <w:rsid w:val="00295D90"/>
    <w:rsid w:val="00295EB5"/>
    <w:rsid w:val="00297B00"/>
    <w:rsid w:val="002B10E1"/>
    <w:rsid w:val="002B2193"/>
    <w:rsid w:val="002B2380"/>
    <w:rsid w:val="002B37D4"/>
    <w:rsid w:val="002B7463"/>
    <w:rsid w:val="002D1554"/>
    <w:rsid w:val="002D418F"/>
    <w:rsid w:val="002D7150"/>
    <w:rsid w:val="002D7744"/>
    <w:rsid w:val="002E28C8"/>
    <w:rsid w:val="002E5A74"/>
    <w:rsid w:val="002E6D3E"/>
    <w:rsid w:val="002E7A41"/>
    <w:rsid w:val="002F2048"/>
    <w:rsid w:val="002F5217"/>
    <w:rsid w:val="002F77CF"/>
    <w:rsid w:val="003016A4"/>
    <w:rsid w:val="00310DAA"/>
    <w:rsid w:val="00313C5F"/>
    <w:rsid w:val="003154B0"/>
    <w:rsid w:val="00315959"/>
    <w:rsid w:val="003163D5"/>
    <w:rsid w:val="00316900"/>
    <w:rsid w:val="00317ABE"/>
    <w:rsid w:val="00317FF7"/>
    <w:rsid w:val="0032030F"/>
    <w:rsid w:val="003253AD"/>
    <w:rsid w:val="0033496D"/>
    <w:rsid w:val="00341832"/>
    <w:rsid w:val="0034235C"/>
    <w:rsid w:val="0034263F"/>
    <w:rsid w:val="00342CE7"/>
    <w:rsid w:val="00347F76"/>
    <w:rsid w:val="003501C9"/>
    <w:rsid w:val="00351DAF"/>
    <w:rsid w:val="00354005"/>
    <w:rsid w:val="003540BF"/>
    <w:rsid w:val="00355C85"/>
    <w:rsid w:val="00361FC0"/>
    <w:rsid w:val="003635B9"/>
    <w:rsid w:val="00365618"/>
    <w:rsid w:val="003656D0"/>
    <w:rsid w:val="00365A86"/>
    <w:rsid w:val="00365B8E"/>
    <w:rsid w:val="003720D9"/>
    <w:rsid w:val="003735E3"/>
    <w:rsid w:val="00373F20"/>
    <w:rsid w:val="0038023C"/>
    <w:rsid w:val="00384678"/>
    <w:rsid w:val="003853B2"/>
    <w:rsid w:val="003857C5"/>
    <w:rsid w:val="003930F8"/>
    <w:rsid w:val="003A1357"/>
    <w:rsid w:val="003A2537"/>
    <w:rsid w:val="003A3033"/>
    <w:rsid w:val="003A31CC"/>
    <w:rsid w:val="003A4591"/>
    <w:rsid w:val="003A6176"/>
    <w:rsid w:val="003A73C6"/>
    <w:rsid w:val="003B32F1"/>
    <w:rsid w:val="003B3FBF"/>
    <w:rsid w:val="003B539E"/>
    <w:rsid w:val="003B6951"/>
    <w:rsid w:val="003B7ED8"/>
    <w:rsid w:val="003C3C45"/>
    <w:rsid w:val="003C4BDD"/>
    <w:rsid w:val="003C51BF"/>
    <w:rsid w:val="003C5B9E"/>
    <w:rsid w:val="003C68DC"/>
    <w:rsid w:val="003D07DE"/>
    <w:rsid w:val="003E45C3"/>
    <w:rsid w:val="003E595A"/>
    <w:rsid w:val="003E5A6A"/>
    <w:rsid w:val="003E5B6F"/>
    <w:rsid w:val="003F4738"/>
    <w:rsid w:val="003F5E4E"/>
    <w:rsid w:val="00401A39"/>
    <w:rsid w:val="0040657E"/>
    <w:rsid w:val="00410839"/>
    <w:rsid w:val="004140DC"/>
    <w:rsid w:val="00415A2F"/>
    <w:rsid w:val="0041610C"/>
    <w:rsid w:val="004161E0"/>
    <w:rsid w:val="004241C7"/>
    <w:rsid w:val="00424E1F"/>
    <w:rsid w:val="00426A01"/>
    <w:rsid w:val="00430877"/>
    <w:rsid w:val="00430E10"/>
    <w:rsid w:val="00434501"/>
    <w:rsid w:val="00436980"/>
    <w:rsid w:val="00447D8D"/>
    <w:rsid w:val="00450C81"/>
    <w:rsid w:val="00456BBC"/>
    <w:rsid w:val="00457D3E"/>
    <w:rsid w:val="0046040E"/>
    <w:rsid w:val="00460964"/>
    <w:rsid w:val="00463186"/>
    <w:rsid w:val="00475452"/>
    <w:rsid w:val="00480826"/>
    <w:rsid w:val="00481CFE"/>
    <w:rsid w:val="00487CA9"/>
    <w:rsid w:val="004933AF"/>
    <w:rsid w:val="00494CEC"/>
    <w:rsid w:val="00496885"/>
    <w:rsid w:val="004A0DCF"/>
    <w:rsid w:val="004A3306"/>
    <w:rsid w:val="004A4386"/>
    <w:rsid w:val="004A7B6F"/>
    <w:rsid w:val="004A7EE6"/>
    <w:rsid w:val="004B1BDA"/>
    <w:rsid w:val="004B49B7"/>
    <w:rsid w:val="004B676D"/>
    <w:rsid w:val="004C306F"/>
    <w:rsid w:val="004C5675"/>
    <w:rsid w:val="004C6E4D"/>
    <w:rsid w:val="004C7411"/>
    <w:rsid w:val="004D0318"/>
    <w:rsid w:val="004D0B84"/>
    <w:rsid w:val="004D256B"/>
    <w:rsid w:val="004D5654"/>
    <w:rsid w:val="004D5909"/>
    <w:rsid w:val="004D7479"/>
    <w:rsid w:val="004E4326"/>
    <w:rsid w:val="004E6597"/>
    <w:rsid w:val="004E7535"/>
    <w:rsid w:val="004F04D9"/>
    <w:rsid w:val="004F4192"/>
    <w:rsid w:val="004F7E4E"/>
    <w:rsid w:val="00510D6D"/>
    <w:rsid w:val="00510DFC"/>
    <w:rsid w:val="00513DB5"/>
    <w:rsid w:val="00520E53"/>
    <w:rsid w:val="00523C6A"/>
    <w:rsid w:val="00523D56"/>
    <w:rsid w:val="00524704"/>
    <w:rsid w:val="005311E8"/>
    <w:rsid w:val="0053357B"/>
    <w:rsid w:val="0053471A"/>
    <w:rsid w:val="00535A81"/>
    <w:rsid w:val="00535FD6"/>
    <w:rsid w:val="00536BF4"/>
    <w:rsid w:val="005408C8"/>
    <w:rsid w:val="00543BED"/>
    <w:rsid w:val="00544135"/>
    <w:rsid w:val="0055149A"/>
    <w:rsid w:val="00552520"/>
    <w:rsid w:val="005536DB"/>
    <w:rsid w:val="00554A1F"/>
    <w:rsid w:val="00566E68"/>
    <w:rsid w:val="00577FE3"/>
    <w:rsid w:val="005818A8"/>
    <w:rsid w:val="00581BDE"/>
    <w:rsid w:val="00581FBA"/>
    <w:rsid w:val="005A010A"/>
    <w:rsid w:val="005A2275"/>
    <w:rsid w:val="005A47DB"/>
    <w:rsid w:val="005A6E84"/>
    <w:rsid w:val="005B0D4A"/>
    <w:rsid w:val="005B3480"/>
    <w:rsid w:val="005B5795"/>
    <w:rsid w:val="005C0953"/>
    <w:rsid w:val="005C282D"/>
    <w:rsid w:val="005C3A74"/>
    <w:rsid w:val="005C50CF"/>
    <w:rsid w:val="005D01E4"/>
    <w:rsid w:val="005D1A44"/>
    <w:rsid w:val="005D1AEB"/>
    <w:rsid w:val="005D3FBE"/>
    <w:rsid w:val="005E69BC"/>
    <w:rsid w:val="005E7A1F"/>
    <w:rsid w:val="006021B5"/>
    <w:rsid w:val="00603F75"/>
    <w:rsid w:val="00611560"/>
    <w:rsid w:val="006120D9"/>
    <w:rsid w:val="00614E74"/>
    <w:rsid w:val="006175D5"/>
    <w:rsid w:val="00617E75"/>
    <w:rsid w:val="0062005E"/>
    <w:rsid w:val="00621051"/>
    <w:rsid w:val="00624505"/>
    <w:rsid w:val="0062556F"/>
    <w:rsid w:val="00625B81"/>
    <w:rsid w:val="00626981"/>
    <w:rsid w:val="006278C3"/>
    <w:rsid w:val="00642010"/>
    <w:rsid w:val="00643542"/>
    <w:rsid w:val="006439A2"/>
    <w:rsid w:val="00643A8E"/>
    <w:rsid w:val="00646311"/>
    <w:rsid w:val="00646373"/>
    <w:rsid w:val="00656D0B"/>
    <w:rsid w:val="00656DA0"/>
    <w:rsid w:val="0066054A"/>
    <w:rsid w:val="00663AA0"/>
    <w:rsid w:val="00664C79"/>
    <w:rsid w:val="00665319"/>
    <w:rsid w:val="006669FC"/>
    <w:rsid w:val="00667D91"/>
    <w:rsid w:val="00670B6C"/>
    <w:rsid w:val="006735AB"/>
    <w:rsid w:val="0067483C"/>
    <w:rsid w:val="006769A3"/>
    <w:rsid w:val="006824D7"/>
    <w:rsid w:val="006836AF"/>
    <w:rsid w:val="00690E7B"/>
    <w:rsid w:val="00693166"/>
    <w:rsid w:val="00696283"/>
    <w:rsid w:val="006A09BE"/>
    <w:rsid w:val="006A3B8E"/>
    <w:rsid w:val="006A49E6"/>
    <w:rsid w:val="006B45CD"/>
    <w:rsid w:val="006C0008"/>
    <w:rsid w:val="006C2A63"/>
    <w:rsid w:val="006C36B2"/>
    <w:rsid w:val="006C399E"/>
    <w:rsid w:val="006D0330"/>
    <w:rsid w:val="006D0E8E"/>
    <w:rsid w:val="006D5DBD"/>
    <w:rsid w:val="006E2490"/>
    <w:rsid w:val="006F67A6"/>
    <w:rsid w:val="00701227"/>
    <w:rsid w:val="00704CE6"/>
    <w:rsid w:val="00715B54"/>
    <w:rsid w:val="00716DDB"/>
    <w:rsid w:val="00725CB0"/>
    <w:rsid w:val="007268CC"/>
    <w:rsid w:val="0072702F"/>
    <w:rsid w:val="00731DC9"/>
    <w:rsid w:val="00736B3A"/>
    <w:rsid w:val="00737990"/>
    <w:rsid w:val="00741EF7"/>
    <w:rsid w:val="007422DC"/>
    <w:rsid w:val="00751CFC"/>
    <w:rsid w:val="0075371C"/>
    <w:rsid w:val="007567EC"/>
    <w:rsid w:val="00760883"/>
    <w:rsid w:val="00766590"/>
    <w:rsid w:val="00767B47"/>
    <w:rsid w:val="00770B46"/>
    <w:rsid w:val="00771331"/>
    <w:rsid w:val="00771606"/>
    <w:rsid w:val="00775A5F"/>
    <w:rsid w:val="007775AA"/>
    <w:rsid w:val="0078726F"/>
    <w:rsid w:val="00790D5D"/>
    <w:rsid w:val="007A537B"/>
    <w:rsid w:val="007A6A6C"/>
    <w:rsid w:val="007A73E3"/>
    <w:rsid w:val="007B25C1"/>
    <w:rsid w:val="007B4A36"/>
    <w:rsid w:val="007C4748"/>
    <w:rsid w:val="007C6201"/>
    <w:rsid w:val="007C625E"/>
    <w:rsid w:val="007C6D42"/>
    <w:rsid w:val="007D00EB"/>
    <w:rsid w:val="007D255A"/>
    <w:rsid w:val="007D2A13"/>
    <w:rsid w:val="007D4FA4"/>
    <w:rsid w:val="007E1A2B"/>
    <w:rsid w:val="007F4DA2"/>
    <w:rsid w:val="007F63EC"/>
    <w:rsid w:val="007F6553"/>
    <w:rsid w:val="007F6CA2"/>
    <w:rsid w:val="007F700C"/>
    <w:rsid w:val="00806AB6"/>
    <w:rsid w:val="00810667"/>
    <w:rsid w:val="008120E5"/>
    <w:rsid w:val="00813D91"/>
    <w:rsid w:val="008153E7"/>
    <w:rsid w:val="00815C92"/>
    <w:rsid w:val="0081603A"/>
    <w:rsid w:val="00827588"/>
    <w:rsid w:val="00827BEA"/>
    <w:rsid w:val="00845CCF"/>
    <w:rsid w:val="00847D9A"/>
    <w:rsid w:val="008513FB"/>
    <w:rsid w:val="0085239D"/>
    <w:rsid w:val="0085587A"/>
    <w:rsid w:val="00856339"/>
    <w:rsid w:val="0085727A"/>
    <w:rsid w:val="008572E5"/>
    <w:rsid w:val="0086214A"/>
    <w:rsid w:val="008647C8"/>
    <w:rsid w:val="00872491"/>
    <w:rsid w:val="00874B4B"/>
    <w:rsid w:val="00876F32"/>
    <w:rsid w:val="0087740E"/>
    <w:rsid w:val="00877498"/>
    <w:rsid w:val="00882318"/>
    <w:rsid w:val="00884763"/>
    <w:rsid w:val="00885E1F"/>
    <w:rsid w:val="00892C02"/>
    <w:rsid w:val="00893FC6"/>
    <w:rsid w:val="008950E0"/>
    <w:rsid w:val="008A1B6A"/>
    <w:rsid w:val="008A6250"/>
    <w:rsid w:val="008B18FB"/>
    <w:rsid w:val="008B442F"/>
    <w:rsid w:val="008B4CCD"/>
    <w:rsid w:val="008B5599"/>
    <w:rsid w:val="008B61ED"/>
    <w:rsid w:val="008B6816"/>
    <w:rsid w:val="008B7FED"/>
    <w:rsid w:val="008C4650"/>
    <w:rsid w:val="008C4D01"/>
    <w:rsid w:val="008C7A01"/>
    <w:rsid w:val="008C7A3F"/>
    <w:rsid w:val="008D24CF"/>
    <w:rsid w:val="008D2FE8"/>
    <w:rsid w:val="008D3EBA"/>
    <w:rsid w:val="008D5D25"/>
    <w:rsid w:val="008D609E"/>
    <w:rsid w:val="008D67DB"/>
    <w:rsid w:val="008D6EBC"/>
    <w:rsid w:val="008E109F"/>
    <w:rsid w:val="008E2D35"/>
    <w:rsid w:val="008E68BD"/>
    <w:rsid w:val="008F3560"/>
    <w:rsid w:val="008F78D6"/>
    <w:rsid w:val="0090075C"/>
    <w:rsid w:val="00900ECD"/>
    <w:rsid w:val="00902782"/>
    <w:rsid w:val="009030DC"/>
    <w:rsid w:val="0090466B"/>
    <w:rsid w:val="0090548F"/>
    <w:rsid w:val="00906294"/>
    <w:rsid w:val="009123DE"/>
    <w:rsid w:val="00917FA6"/>
    <w:rsid w:val="00920282"/>
    <w:rsid w:val="00923DD5"/>
    <w:rsid w:val="009265E7"/>
    <w:rsid w:val="00927EF5"/>
    <w:rsid w:val="00930DFF"/>
    <w:rsid w:val="00933C4B"/>
    <w:rsid w:val="00935243"/>
    <w:rsid w:val="009357B7"/>
    <w:rsid w:val="0093621B"/>
    <w:rsid w:val="00940797"/>
    <w:rsid w:val="00942BE3"/>
    <w:rsid w:val="009460B8"/>
    <w:rsid w:val="009461D6"/>
    <w:rsid w:val="00946315"/>
    <w:rsid w:val="00950BAD"/>
    <w:rsid w:val="00951A4E"/>
    <w:rsid w:val="00951B6B"/>
    <w:rsid w:val="00951EDB"/>
    <w:rsid w:val="00952DA6"/>
    <w:rsid w:val="00954126"/>
    <w:rsid w:val="009563FE"/>
    <w:rsid w:val="0095684B"/>
    <w:rsid w:val="00963BD6"/>
    <w:rsid w:val="00964C48"/>
    <w:rsid w:val="00964EA3"/>
    <w:rsid w:val="0096626F"/>
    <w:rsid w:val="00966627"/>
    <w:rsid w:val="0097197F"/>
    <w:rsid w:val="00971D6F"/>
    <w:rsid w:val="009747B8"/>
    <w:rsid w:val="00974CBB"/>
    <w:rsid w:val="00975AB8"/>
    <w:rsid w:val="0098089A"/>
    <w:rsid w:val="009839E9"/>
    <w:rsid w:val="00987851"/>
    <w:rsid w:val="00990581"/>
    <w:rsid w:val="00990807"/>
    <w:rsid w:val="0099265B"/>
    <w:rsid w:val="00993EE4"/>
    <w:rsid w:val="00995E3E"/>
    <w:rsid w:val="009A0E16"/>
    <w:rsid w:val="009A7D17"/>
    <w:rsid w:val="009B08E3"/>
    <w:rsid w:val="009B4C12"/>
    <w:rsid w:val="009B4CD1"/>
    <w:rsid w:val="009C0A9C"/>
    <w:rsid w:val="009E1464"/>
    <w:rsid w:val="009E1C8B"/>
    <w:rsid w:val="009E24D0"/>
    <w:rsid w:val="009E364F"/>
    <w:rsid w:val="009E510A"/>
    <w:rsid w:val="009F1492"/>
    <w:rsid w:val="009F246E"/>
    <w:rsid w:val="009F3B6B"/>
    <w:rsid w:val="009F67C2"/>
    <w:rsid w:val="009F753D"/>
    <w:rsid w:val="00A00AE9"/>
    <w:rsid w:val="00A01753"/>
    <w:rsid w:val="00A02620"/>
    <w:rsid w:val="00A027E2"/>
    <w:rsid w:val="00A04093"/>
    <w:rsid w:val="00A146DF"/>
    <w:rsid w:val="00A162C8"/>
    <w:rsid w:val="00A178E3"/>
    <w:rsid w:val="00A21A4D"/>
    <w:rsid w:val="00A22A1E"/>
    <w:rsid w:val="00A23995"/>
    <w:rsid w:val="00A250E4"/>
    <w:rsid w:val="00A260DE"/>
    <w:rsid w:val="00A30E84"/>
    <w:rsid w:val="00A35293"/>
    <w:rsid w:val="00A4236A"/>
    <w:rsid w:val="00A42584"/>
    <w:rsid w:val="00A44239"/>
    <w:rsid w:val="00A46998"/>
    <w:rsid w:val="00A47485"/>
    <w:rsid w:val="00A474B2"/>
    <w:rsid w:val="00A52CA7"/>
    <w:rsid w:val="00A56790"/>
    <w:rsid w:val="00A73F6D"/>
    <w:rsid w:val="00A74A11"/>
    <w:rsid w:val="00A76F1A"/>
    <w:rsid w:val="00A77F63"/>
    <w:rsid w:val="00A80B60"/>
    <w:rsid w:val="00A83EC9"/>
    <w:rsid w:val="00A841AC"/>
    <w:rsid w:val="00A84988"/>
    <w:rsid w:val="00A85155"/>
    <w:rsid w:val="00A90BA7"/>
    <w:rsid w:val="00A90E8F"/>
    <w:rsid w:val="00A92BDD"/>
    <w:rsid w:val="00A946C6"/>
    <w:rsid w:val="00AA2D09"/>
    <w:rsid w:val="00AA41CC"/>
    <w:rsid w:val="00AB2CC3"/>
    <w:rsid w:val="00AB334D"/>
    <w:rsid w:val="00AB70A7"/>
    <w:rsid w:val="00AC1A50"/>
    <w:rsid w:val="00AC1E01"/>
    <w:rsid w:val="00AC2076"/>
    <w:rsid w:val="00AC3C07"/>
    <w:rsid w:val="00AC680E"/>
    <w:rsid w:val="00AD13B5"/>
    <w:rsid w:val="00AD67AA"/>
    <w:rsid w:val="00AE2D6A"/>
    <w:rsid w:val="00AF2242"/>
    <w:rsid w:val="00AF28EF"/>
    <w:rsid w:val="00AF554F"/>
    <w:rsid w:val="00AF746A"/>
    <w:rsid w:val="00B00CD2"/>
    <w:rsid w:val="00B01EE2"/>
    <w:rsid w:val="00B0235E"/>
    <w:rsid w:val="00B04249"/>
    <w:rsid w:val="00B04619"/>
    <w:rsid w:val="00B04EA2"/>
    <w:rsid w:val="00B072A2"/>
    <w:rsid w:val="00B1153F"/>
    <w:rsid w:val="00B125C2"/>
    <w:rsid w:val="00B1735C"/>
    <w:rsid w:val="00B17392"/>
    <w:rsid w:val="00B20915"/>
    <w:rsid w:val="00B22F06"/>
    <w:rsid w:val="00B2401C"/>
    <w:rsid w:val="00B24757"/>
    <w:rsid w:val="00B2736B"/>
    <w:rsid w:val="00B30B61"/>
    <w:rsid w:val="00B36109"/>
    <w:rsid w:val="00B36FF7"/>
    <w:rsid w:val="00B40013"/>
    <w:rsid w:val="00B40783"/>
    <w:rsid w:val="00B40F0E"/>
    <w:rsid w:val="00B41F17"/>
    <w:rsid w:val="00B42EFB"/>
    <w:rsid w:val="00B53990"/>
    <w:rsid w:val="00B60EF0"/>
    <w:rsid w:val="00B616EC"/>
    <w:rsid w:val="00B629CF"/>
    <w:rsid w:val="00B65CDD"/>
    <w:rsid w:val="00B66F41"/>
    <w:rsid w:val="00B6751B"/>
    <w:rsid w:val="00B70035"/>
    <w:rsid w:val="00B742B7"/>
    <w:rsid w:val="00B74EC2"/>
    <w:rsid w:val="00B848D9"/>
    <w:rsid w:val="00B84CB7"/>
    <w:rsid w:val="00B85B00"/>
    <w:rsid w:val="00B87714"/>
    <w:rsid w:val="00B92371"/>
    <w:rsid w:val="00B95659"/>
    <w:rsid w:val="00BA4A84"/>
    <w:rsid w:val="00BA7194"/>
    <w:rsid w:val="00BB06CC"/>
    <w:rsid w:val="00BB33D8"/>
    <w:rsid w:val="00BB4964"/>
    <w:rsid w:val="00BB795A"/>
    <w:rsid w:val="00BC08C9"/>
    <w:rsid w:val="00BC180C"/>
    <w:rsid w:val="00BC1F32"/>
    <w:rsid w:val="00BC3C9C"/>
    <w:rsid w:val="00BC6C4B"/>
    <w:rsid w:val="00BD2481"/>
    <w:rsid w:val="00BD37BE"/>
    <w:rsid w:val="00BE0B30"/>
    <w:rsid w:val="00BE3FE2"/>
    <w:rsid w:val="00BE723D"/>
    <w:rsid w:val="00BF285D"/>
    <w:rsid w:val="00BF317B"/>
    <w:rsid w:val="00BF3A91"/>
    <w:rsid w:val="00BF57E1"/>
    <w:rsid w:val="00C10164"/>
    <w:rsid w:val="00C12D8C"/>
    <w:rsid w:val="00C13C80"/>
    <w:rsid w:val="00C13D35"/>
    <w:rsid w:val="00C179ED"/>
    <w:rsid w:val="00C23DEB"/>
    <w:rsid w:val="00C2558D"/>
    <w:rsid w:val="00C40705"/>
    <w:rsid w:val="00C41778"/>
    <w:rsid w:val="00C43166"/>
    <w:rsid w:val="00C44796"/>
    <w:rsid w:val="00C47D14"/>
    <w:rsid w:val="00C523EB"/>
    <w:rsid w:val="00C53C46"/>
    <w:rsid w:val="00C53CBC"/>
    <w:rsid w:val="00C601D5"/>
    <w:rsid w:val="00C612F2"/>
    <w:rsid w:val="00C63042"/>
    <w:rsid w:val="00C64807"/>
    <w:rsid w:val="00C67058"/>
    <w:rsid w:val="00C76C40"/>
    <w:rsid w:val="00C76DF2"/>
    <w:rsid w:val="00C83697"/>
    <w:rsid w:val="00C84B88"/>
    <w:rsid w:val="00C953AD"/>
    <w:rsid w:val="00CA0B43"/>
    <w:rsid w:val="00CA386C"/>
    <w:rsid w:val="00CA5B69"/>
    <w:rsid w:val="00CA6E8E"/>
    <w:rsid w:val="00CB3A7A"/>
    <w:rsid w:val="00CB429B"/>
    <w:rsid w:val="00CC238D"/>
    <w:rsid w:val="00CD0238"/>
    <w:rsid w:val="00CD081F"/>
    <w:rsid w:val="00CD0B91"/>
    <w:rsid w:val="00CD0D44"/>
    <w:rsid w:val="00CD2A0C"/>
    <w:rsid w:val="00CE29BF"/>
    <w:rsid w:val="00CE3D70"/>
    <w:rsid w:val="00CE5617"/>
    <w:rsid w:val="00CE5B91"/>
    <w:rsid w:val="00CE61A1"/>
    <w:rsid w:val="00CE64B9"/>
    <w:rsid w:val="00CE7CC4"/>
    <w:rsid w:val="00CF14C2"/>
    <w:rsid w:val="00D00941"/>
    <w:rsid w:val="00D03D97"/>
    <w:rsid w:val="00D068F8"/>
    <w:rsid w:val="00D23BB7"/>
    <w:rsid w:val="00D24317"/>
    <w:rsid w:val="00D31A49"/>
    <w:rsid w:val="00D31EAC"/>
    <w:rsid w:val="00D33181"/>
    <w:rsid w:val="00D34611"/>
    <w:rsid w:val="00D3748E"/>
    <w:rsid w:val="00D41C1D"/>
    <w:rsid w:val="00D425F5"/>
    <w:rsid w:val="00D42E45"/>
    <w:rsid w:val="00D44014"/>
    <w:rsid w:val="00D44C06"/>
    <w:rsid w:val="00D4780C"/>
    <w:rsid w:val="00D51C01"/>
    <w:rsid w:val="00D522F6"/>
    <w:rsid w:val="00D542E3"/>
    <w:rsid w:val="00D543B0"/>
    <w:rsid w:val="00D57D70"/>
    <w:rsid w:val="00D638F6"/>
    <w:rsid w:val="00D71926"/>
    <w:rsid w:val="00D730DC"/>
    <w:rsid w:val="00D77022"/>
    <w:rsid w:val="00D77C35"/>
    <w:rsid w:val="00D80364"/>
    <w:rsid w:val="00D85539"/>
    <w:rsid w:val="00D8724D"/>
    <w:rsid w:val="00D94547"/>
    <w:rsid w:val="00D954C4"/>
    <w:rsid w:val="00D966B2"/>
    <w:rsid w:val="00DA0897"/>
    <w:rsid w:val="00DA1BD6"/>
    <w:rsid w:val="00DA2D18"/>
    <w:rsid w:val="00DA345E"/>
    <w:rsid w:val="00DA39FE"/>
    <w:rsid w:val="00DB3B79"/>
    <w:rsid w:val="00DB4458"/>
    <w:rsid w:val="00DB4578"/>
    <w:rsid w:val="00DB685D"/>
    <w:rsid w:val="00DC0736"/>
    <w:rsid w:val="00DC22F8"/>
    <w:rsid w:val="00DC4E07"/>
    <w:rsid w:val="00DC5289"/>
    <w:rsid w:val="00DD53B7"/>
    <w:rsid w:val="00DD718B"/>
    <w:rsid w:val="00DE12D3"/>
    <w:rsid w:val="00DE30E9"/>
    <w:rsid w:val="00DE349F"/>
    <w:rsid w:val="00DE4AF6"/>
    <w:rsid w:val="00DE7D10"/>
    <w:rsid w:val="00DF0035"/>
    <w:rsid w:val="00DF03EA"/>
    <w:rsid w:val="00DF095D"/>
    <w:rsid w:val="00DF14D4"/>
    <w:rsid w:val="00DF6D43"/>
    <w:rsid w:val="00E006C4"/>
    <w:rsid w:val="00E00ADA"/>
    <w:rsid w:val="00E01B4D"/>
    <w:rsid w:val="00E04C2C"/>
    <w:rsid w:val="00E05200"/>
    <w:rsid w:val="00E12F0C"/>
    <w:rsid w:val="00E13391"/>
    <w:rsid w:val="00E13CFA"/>
    <w:rsid w:val="00E17C06"/>
    <w:rsid w:val="00E257C7"/>
    <w:rsid w:val="00E25B38"/>
    <w:rsid w:val="00E26364"/>
    <w:rsid w:val="00E2760D"/>
    <w:rsid w:val="00E3107A"/>
    <w:rsid w:val="00E34A3B"/>
    <w:rsid w:val="00E354DB"/>
    <w:rsid w:val="00E36154"/>
    <w:rsid w:val="00E4233E"/>
    <w:rsid w:val="00E42B97"/>
    <w:rsid w:val="00E468FA"/>
    <w:rsid w:val="00E4715D"/>
    <w:rsid w:val="00E507E7"/>
    <w:rsid w:val="00E6240C"/>
    <w:rsid w:val="00E640E5"/>
    <w:rsid w:val="00E650C9"/>
    <w:rsid w:val="00E6783C"/>
    <w:rsid w:val="00E70F4F"/>
    <w:rsid w:val="00E73228"/>
    <w:rsid w:val="00E7759D"/>
    <w:rsid w:val="00E82FEA"/>
    <w:rsid w:val="00E856E4"/>
    <w:rsid w:val="00E92AE9"/>
    <w:rsid w:val="00E94CE3"/>
    <w:rsid w:val="00E96442"/>
    <w:rsid w:val="00EB0A08"/>
    <w:rsid w:val="00EB63CE"/>
    <w:rsid w:val="00EB708A"/>
    <w:rsid w:val="00EB777E"/>
    <w:rsid w:val="00EC20CB"/>
    <w:rsid w:val="00EC3374"/>
    <w:rsid w:val="00EC4B1F"/>
    <w:rsid w:val="00EC75FD"/>
    <w:rsid w:val="00ED5AFF"/>
    <w:rsid w:val="00EE3611"/>
    <w:rsid w:val="00EE6A06"/>
    <w:rsid w:val="00EF0756"/>
    <w:rsid w:val="00EF077C"/>
    <w:rsid w:val="00EF3778"/>
    <w:rsid w:val="00EF4749"/>
    <w:rsid w:val="00EF588E"/>
    <w:rsid w:val="00EF5C1E"/>
    <w:rsid w:val="00EF6885"/>
    <w:rsid w:val="00EF7ED5"/>
    <w:rsid w:val="00EF7FF0"/>
    <w:rsid w:val="00F01B80"/>
    <w:rsid w:val="00F06771"/>
    <w:rsid w:val="00F06C3A"/>
    <w:rsid w:val="00F072A1"/>
    <w:rsid w:val="00F172F0"/>
    <w:rsid w:val="00F212F8"/>
    <w:rsid w:val="00F215F3"/>
    <w:rsid w:val="00F22164"/>
    <w:rsid w:val="00F233C5"/>
    <w:rsid w:val="00F23775"/>
    <w:rsid w:val="00F23956"/>
    <w:rsid w:val="00F27C5C"/>
    <w:rsid w:val="00F30DA4"/>
    <w:rsid w:val="00F32D2E"/>
    <w:rsid w:val="00F32E84"/>
    <w:rsid w:val="00F3536E"/>
    <w:rsid w:val="00F37DEA"/>
    <w:rsid w:val="00F401B5"/>
    <w:rsid w:val="00F409D8"/>
    <w:rsid w:val="00F427B8"/>
    <w:rsid w:val="00F43978"/>
    <w:rsid w:val="00F4467A"/>
    <w:rsid w:val="00F46FA1"/>
    <w:rsid w:val="00F478D6"/>
    <w:rsid w:val="00F55E1E"/>
    <w:rsid w:val="00F56CA1"/>
    <w:rsid w:val="00F62AFB"/>
    <w:rsid w:val="00F67365"/>
    <w:rsid w:val="00F70AC0"/>
    <w:rsid w:val="00F74B3A"/>
    <w:rsid w:val="00F81AE9"/>
    <w:rsid w:val="00F8451B"/>
    <w:rsid w:val="00F85FEE"/>
    <w:rsid w:val="00F86045"/>
    <w:rsid w:val="00F87B23"/>
    <w:rsid w:val="00F917C8"/>
    <w:rsid w:val="00FA0B7E"/>
    <w:rsid w:val="00FA3BB1"/>
    <w:rsid w:val="00FA436D"/>
    <w:rsid w:val="00FA4648"/>
    <w:rsid w:val="00FB0C7B"/>
    <w:rsid w:val="00FB160D"/>
    <w:rsid w:val="00FB2C62"/>
    <w:rsid w:val="00FC5238"/>
    <w:rsid w:val="00FD224E"/>
    <w:rsid w:val="00FD4798"/>
    <w:rsid w:val="00FD622D"/>
    <w:rsid w:val="00FE4883"/>
    <w:rsid w:val="00FF10CB"/>
    <w:rsid w:val="00FF16E3"/>
    <w:rsid w:val="00FF36FF"/>
    <w:rsid w:val="00FF3FAE"/>
    <w:rsid w:val="02896C80"/>
    <w:rsid w:val="04E04E68"/>
    <w:rsid w:val="05560B38"/>
    <w:rsid w:val="06B75C5D"/>
    <w:rsid w:val="076646E5"/>
    <w:rsid w:val="08226B21"/>
    <w:rsid w:val="0992170C"/>
    <w:rsid w:val="0C283CFC"/>
    <w:rsid w:val="0C28640C"/>
    <w:rsid w:val="0D613984"/>
    <w:rsid w:val="0DFD735F"/>
    <w:rsid w:val="0E4B0190"/>
    <w:rsid w:val="0EEB22EE"/>
    <w:rsid w:val="0EFB3964"/>
    <w:rsid w:val="0F31799A"/>
    <w:rsid w:val="0FD61CDB"/>
    <w:rsid w:val="10530993"/>
    <w:rsid w:val="11892A8A"/>
    <w:rsid w:val="11A458D4"/>
    <w:rsid w:val="122D39F0"/>
    <w:rsid w:val="128245C1"/>
    <w:rsid w:val="132711CC"/>
    <w:rsid w:val="13F4225D"/>
    <w:rsid w:val="14BA7E1E"/>
    <w:rsid w:val="16177C04"/>
    <w:rsid w:val="1648769E"/>
    <w:rsid w:val="17D94781"/>
    <w:rsid w:val="17E06786"/>
    <w:rsid w:val="182C7240"/>
    <w:rsid w:val="18E57121"/>
    <w:rsid w:val="193D5AE8"/>
    <w:rsid w:val="1B2334ED"/>
    <w:rsid w:val="1C7B4EF0"/>
    <w:rsid w:val="1C9F0831"/>
    <w:rsid w:val="1D5F5A06"/>
    <w:rsid w:val="1D7A6072"/>
    <w:rsid w:val="1DB26E14"/>
    <w:rsid w:val="1DB954A8"/>
    <w:rsid w:val="1FB54C35"/>
    <w:rsid w:val="20B95F87"/>
    <w:rsid w:val="21A67760"/>
    <w:rsid w:val="231315F9"/>
    <w:rsid w:val="23AE6D9F"/>
    <w:rsid w:val="2576562C"/>
    <w:rsid w:val="261F21D6"/>
    <w:rsid w:val="270C0622"/>
    <w:rsid w:val="278D3286"/>
    <w:rsid w:val="28090A48"/>
    <w:rsid w:val="28814A83"/>
    <w:rsid w:val="288D78CB"/>
    <w:rsid w:val="28C10D3F"/>
    <w:rsid w:val="28DD30BB"/>
    <w:rsid w:val="297B3BC8"/>
    <w:rsid w:val="2A5D507B"/>
    <w:rsid w:val="2AD96DF8"/>
    <w:rsid w:val="2AFC03A6"/>
    <w:rsid w:val="2B8E5656"/>
    <w:rsid w:val="2BB62C95"/>
    <w:rsid w:val="2E7B2239"/>
    <w:rsid w:val="2EC757E1"/>
    <w:rsid w:val="2F477F2F"/>
    <w:rsid w:val="2FAF6379"/>
    <w:rsid w:val="300153C7"/>
    <w:rsid w:val="300F0715"/>
    <w:rsid w:val="305331A8"/>
    <w:rsid w:val="30D51E0F"/>
    <w:rsid w:val="30F1701C"/>
    <w:rsid w:val="327D03B5"/>
    <w:rsid w:val="32A83BE9"/>
    <w:rsid w:val="32D95BDE"/>
    <w:rsid w:val="33D762DE"/>
    <w:rsid w:val="341B3FDD"/>
    <w:rsid w:val="345E3ECA"/>
    <w:rsid w:val="351D5B33"/>
    <w:rsid w:val="35946902"/>
    <w:rsid w:val="371B42F4"/>
    <w:rsid w:val="379E6417"/>
    <w:rsid w:val="37CF301E"/>
    <w:rsid w:val="38741F0E"/>
    <w:rsid w:val="38AA4960"/>
    <w:rsid w:val="3AD1189A"/>
    <w:rsid w:val="3B273268"/>
    <w:rsid w:val="3B2C66A9"/>
    <w:rsid w:val="3C5E5E35"/>
    <w:rsid w:val="3D3D4FC4"/>
    <w:rsid w:val="3E54697F"/>
    <w:rsid w:val="3EC279B5"/>
    <w:rsid w:val="3FCD4CA8"/>
    <w:rsid w:val="400D181A"/>
    <w:rsid w:val="408847A8"/>
    <w:rsid w:val="40FA1A1B"/>
    <w:rsid w:val="419D2436"/>
    <w:rsid w:val="41C637D4"/>
    <w:rsid w:val="41F53EFF"/>
    <w:rsid w:val="423041B7"/>
    <w:rsid w:val="42DD114B"/>
    <w:rsid w:val="4387343D"/>
    <w:rsid w:val="449640A1"/>
    <w:rsid w:val="46032B23"/>
    <w:rsid w:val="466C6C6B"/>
    <w:rsid w:val="47321912"/>
    <w:rsid w:val="47A82FBA"/>
    <w:rsid w:val="47AA2810"/>
    <w:rsid w:val="4AE5022F"/>
    <w:rsid w:val="4B595A08"/>
    <w:rsid w:val="4C545E87"/>
    <w:rsid w:val="4C7E2F03"/>
    <w:rsid w:val="4E781F0A"/>
    <w:rsid w:val="4E7C3E9C"/>
    <w:rsid w:val="4E9F25A7"/>
    <w:rsid w:val="4EC3367F"/>
    <w:rsid w:val="50903394"/>
    <w:rsid w:val="509E3B74"/>
    <w:rsid w:val="512557E8"/>
    <w:rsid w:val="523F3135"/>
    <w:rsid w:val="52757AD4"/>
    <w:rsid w:val="528F5E6A"/>
    <w:rsid w:val="56F95290"/>
    <w:rsid w:val="58AF0300"/>
    <w:rsid w:val="5A035D98"/>
    <w:rsid w:val="5AD114A4"/>
    <w:rsid w:val="5BE82147"/>
    <w:rsid w:val="5BF72ADE"/>
    <w:rsid w:val="5C5A2E4F"/>
    <w:rsid w:val="5CD526CC"/>
    <w:rsid w:val="5F1F2E37"/>
    <w:rsid w:val="5FD27396"/>
    <w:rsid w:val="60107EBF"/>
    <w:rsid w:val="60D4713E"/>
    <w:rsid w:val="617F70AA"/>
    <w:rsid w:val="63E821B8"/>
    <w:rsid w:val="64F35CC5"/>
    <w:rsid w:val="664C2BA5"/>
    <w:rsid w:val="678C2521"/>
    <w:rsid w:val="67E24D9E"/>
    <w:rsid w:val="68B53F41"/>
    <w:rsid w:val="68FD36D6"/>
    <w:rsid w:val="69BB70ED"/>
    <w:rsid w:val="6B286A04"/>
    <w:rsid w:val="6B355E5E"/>
    <w:rsid w:val="6CE579B9"/>
    <w:rsid w:val="6D147240"/>
    <w:rsid w:val="6DF66946"/>
    <w:rsid w:val="6E8E6B7E"/>
    <w:rsid w:val="6F62324F"/>
    <w:rsid w:val="6FAF7160"/>
    <w:rsid w:val="717A66D4"/>
    <w:rsid w:val="719C5A86"/>
    <w:rsid w:val="73563DFC"/>
    <w:rsid w:val="736E06E6"/>
    <w:rsid w:val="73EE31E0"/>
    <w:rsid w:val="744321B9"/>
    <w:rsid w:val="74620891"/>
    <w:rsid w:val="74E55D4E"/>
    <w:rsid w:val="764010A6"/>
    <w:rsid w:val="77380EA3"/>
    <w:rsid w:val="77654281"/>
    <w:rsid w:val="776710DD"/>
    <w:rsid w:val="78183F11"/>
    <w:rsid w:val="78FB3062"/>
    <w:rsid w:val="796D402F"/>
    <w:rsid w:val="7ABB0CFB"/>
    <w:rsid w:val="7AC62729"/>
    <w:rsid w:val="7ACA3634"/>
    <w:rsid w:val="7BBF44D0"/>
    <w:rsid w:val="7BCC0CE6"/>
    <w:rsid w:val="7D2B238B"/>
    <w:rsid w:val="7D4A0A5C"/>
    <w:rsid w:val="EF864CBC"/>
    <w:rsid w:val="EFF711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0"/>
    <w:pPr>
      <w:keepNext/>
      <w:keepLines/>
      <w:spacing w:before="120" w:after="120" w:line="560" w:lineRule="exact"/>
      <w:jc w:val="center"/>
      <w:outlineLvl w:val="0"/>
    </w:pPr>
    <w:rPr>
      <w:b/>
      <w:bCs/>
      <w:kern w:val="44"/>
      <w:sz w:val="32"/>
      <w:szCs w:val="44"/>
    </w:rPr>
  </w:style>
  <w:style w:type="paragraph" w:styleId="3">
    <w:name w:val="heading 2"/>
    <w:basedOn w:val="1"/>
    <w:next w:val="1"/>
    <w:link w:val="25"/>
    <w:qFormat/>
    <w:uiPriority w:val="0"/>
    <w:pPr>
      <w:keepNext/>
      <w:keepLines/>
      <w:spacing w:before="260" w:after="260" w:line="416" w:lineRule="auto"/>
      <w:outlineLvl w:val="1"/>
    </w:pPr>
    <w:rPr>
      <w:rFonts w:ascii="等线 Light" w:hAnsi="等线 Light" w:eastAsia="等线 Light"/>
      <w:b/>
      <w:bCs/>
      <w:sz w:val="32"/>
      <w:szCs w:val="32"/>
    </w:rPr>
  </w:style>
  <w:style w:type="paragraph" w:styleId="4">
    <w:name w:val="heading 3"/>
    <w:basedOn w:val="1"/>
    <w:next w:val="1"/>
    <w:link w:val="26"/>
    <w:qFormat/>
    <w:uiPriority w:val="0"/>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29"/>
    <w:qFormat/>
    <w:uiPriority w:val="0"/>
    <w:pPr>
      <w:ind w:firstLine="420" w:firstLineChars="200"/>
    </w:pPr>
    <w:rPr>
      <w:rFonts w:asciiTheme="minorHAnsi" w:hAnsiTheme="minorHAnsi" w:eastAsiaTheme="minorEastAsia" w:cstheme="minorBidi"/>
    </w:rPr>
  </w:style>
  <w:style w:type="paragraph" w:styleId="6">
    <w:name w:val="Document Map"/>
    <w:basedOn w:val="1"/>
    <w:link w:val="42"/>
    <w:semiHidden/>
    <w:unhideWhenUsed/>
    <w:qFormat/>
    <w:uiPriority w:val="99"/>
    <w:rPr>
      <w:rFonts w:ascii="宋体"/>
      <w:sz w:val="24"/>
    </w:rPr>
  </w:style>
  <w:style w:type="paragraph" w:styleId="7">
    <w:name w:val="annotation text"/>
    <w:basedOn w:val="1"/>
    <w:link w:val="38"/>
    <w:semiHidden/>
    <w:unhideWhenUsed/>
    <w:qFormat/>
    <w:uiPriority w:val="99"/>
    <w:pPr>
      <w:jc w:val="left"/>
    </w:pPr>
  </w:style>
  <w:style w:type="paragraph" w:styleId="8">
    <w:name w:val="Body Text"/>
    <w:basedOn w:val="1"/>
    <w:link w:val="44"/>
    <w:qFormat/>
    <w:uiPriority w:val="0"/>
    <w:pPr>
      <w:spacing w:after="120"/>
    </w:pPr>
    <w:rPr>
      <w:rFonts w:ascii="宋体"/>
      <w:kern w:val="0"/>
      <w:sz w:val="34"/>
      <w:szCs w:val="20"/>
    </w:rPr>
  </w:style>
  <w:style w:type="paragraph" w:styleId="9">
    <w:name w:val="Plain Text"/>
    <w:basedOn w:val="1"/>
    <w:link w:val="31"/>
    <w:qFormat/>
    <w:uiPriority w:val="0"/>
    <w:pPr>
      <w:spacing w:line="360" w:lineRule="auto"/>
    </w:pPr>
    <w:rPr>
      <w:rFonts w:ascii="宋体" w:hAnsi="宋体" w:eastAsiaTheme="minorEastAsia" w:cstheme="minorBidi"/>
      <w:color w:val="000000"/>
      <w:sz w:val="24"/>
    </w:rPr>
  </w:style>
  <w:style w:type="paragraph" w:styleId="10">
    <w:name w:val="Date"/>
    <w:basedOn w:val="1"/>
    <w:next w:val="1"/>
    <w:link w:val="27"/>
    <w:qFormat/>
    <w:uiPriority w:val="0"/>
    <w:pPr>
      <w:ind w:left="100" w:leftChars="2500"/>
    </w:pPr>
    <w:rPr>
      <w:rFonts w:asciiTheme="minorHAnsi" w:hAnsiTheme="minorHAnsi" w:eastAsiaTheme="minorEastAsia" w:cstheme="minorBidi"/>
    </w:rPr>
  </w:style>
  <w:style w:type="paragraph" w:styleId="11">
    <w:name w:val="Balloon Text"/>
    <w:basedOn w:val="1"/>
    <w:link w:val="37"/>
    <w:semiHidden/>
    <w:unhideWhenUsed/>
    <w:qFormat/>
    <w:uiPriority w:val="99"/>
    <w:rPr>
      <w:sz w:val="18"/>
      <w:szCs w:val="18"/>
    </w:rPr>
  </w:style>
  <w:style w:type="paragraph" w:styleId="12">
    <w:name w:val="footer"/>
    <w:basedOn w:val="1"/>
    <w:link w:val="2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link w:val="30"/>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toc 1"/>
    <w:basedOn w:val="1"/>
    <w:next w:val="1"/>
    <w:qFormat/>
    <w:uiPriority w:val="39"/>
    <w:pPr>
      <w:spacing w:line="0" w:lineRule="atLeast"/>
    </w:pPr>
    <w:rPr>
      <w:rFonts w:ascii="楷体_GB2312" w:eastAsia="楷体_GB2312"/>
      <w:bCs/>
    </w:rPr>
  </w:style>
  <w:style w:type="paragraph" w:styleId="15">
    <w:name w:val="Subtitle"/>
    <w:basedOn w:val="1"/>
    <w:next w:val="1"/>
    <w:link w:val="45"/>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16">
    <w:name w:val="Normal (Web)"/>
    <w:basedOn w:val="1"/>
    <w:qFormat/>
    <w:uiPriority w:val="0"/>
    <w:pPr>
      <w:widowControl/>
      <w:spacing w:before="100" w:beforeAutospacing="1" w:after="100" w:afterAutospacing="1"/>
      <w:jc w:val="left"/>
    </w:pPr>
    <w:rPr>
      <w:rFonts w:ascii="宋体" w:hAnsi="宋体"/>
      <w:kern w:val="0"/>
      <w:sz w:val="24"/>
    </w:rPr>
  </w:style>
  <w:style w:type="paragraph" w:styleId="17">
    <w:name w:val="annotation subject"/>
    <w:basedOn w:val="7"/>
    <w:next w:val="7"/>
    <w:link w:val="39"/>
    <w:semiHidden/>
    <w:unhideWhenUsed/>
    <w:qFormat/>
    <w:uiPriority w:val="99"/>
    <w:rPr>
      <w:b/>
      <w:bCs/>
    </w:r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Hyperlink"/>
    <w:basedOn w:val="20"/>
    <w:unhideWhenUsed/>
    <w:qFormat/>
    <w:uiPriority w:val="99"/>
    <w:rPr>
      <w:color w:val="0000FF" w:themeColor="hyperlink"/>
      <w:u w:val="single"/>
      <w14:textFill>
        <w14:solidFill>
          <w14:schemeClr w14:val="hlink"/>
        </w14:solidFill>
      </w14:textFill>
    </w:rPr>
  </w:style>
  <w:style w:type="character" w:styleId="22">
    <w:name w:val="annotation reference"/>
    <w:basedOn w:val="20"/>
    <w:semiHidden/>
    <w:unhideWhenUsed/>
    <w:qFormat/>
    <w:uiPriority w:val="99"/>
    <w:rPr>
      <w:sz w:val="21"/>
      <w:szCs w:val="21"/>
    </w:rPr>
  </w:style>
  <w:style w:type="paragraph" w:customStyle="1" w:styleId="23">
    <w:name w:val="Default"/>
    <w:qFormat/>
    <w:uiPriority w:val="0"/>
    <w:pPr>
      <w:widowControl w:val="0"/>
      <w:autoSpaceDE w:val="0"/>
      <w:autoSpaceDN w:val="0"/>
      <w:adjustRightInd w:val="0"/>
    </w:pPr>
    <w:rPr>
      <w:rFonts w:ascii="黑体" w:hAnsi="Calibri" w:eastAsia="黑体" w:cs="Times New Roman"/>
      <w:color w:val="000000"/>
      <w:sz w:val="24"/>
      <w:szCs w:val="24"/>
      <w:lang w:val="en-US" w:eastAsia="zh-CN" w:bidi="ar-SA"/>
    </w:rPr>
  </w:style>
  <w:style w:type="character" w:customStyle="1" w:styleId="24">
    <w:name w:val="标题 1 Char"/>
    <w:basedOn w:val="20"/>
    <w:link w:val="2"/>
    <w:qFormat/>
    <w:uiPriority w:val="0"/>
    <w:rPr>
      <w:rFonts w:ascii="Times New Roman" w:hAnsi="Times New Roman" w:eastAsia="宋体" w:cs="Times New Roman"/>
      <w:b/>
      <w:bCs/>
      <w:kern w:val="44"/>
      <w:sz w:val="32"/>
      <w:szCs w:val="44"/>
    </w:rPr>
  </w:style>
  <w:style w:type="character" w:customStyle="1" w:styleId="25">
    <w:name w:val="标题 2 Char"/>
    <w:basedOn w:val="20"/>
    <w:link w:val="3"/>
    <w:qFormat/>
    <w:uiPriority w:val="0"/>
    <w:rPr>
      <w:rFonts w:ascii="等线 Light" w:hAnsi="等线 Light" w:eastAsia="等线 Light" w:cs="Times New Roman"/>
      <w:b/>
      <w:bCs/>
      <w:sz w:val="32"/>
      <w:szCs w:val="32"/>
    </w:rPr>
  </w:style>
  <w:style w:type="character" w:customStyle="1" w:styleId="26">
    <w:name w:val="标题 3 Char"/>
    <w:basedOn w:val="20"/>
    <w:link w:val="4"/>
    <w:qFormat/>
    <w:uiPriority w:val="0"/>
    <w:rPr>
      <w:rFonts w:ascii="Times New Roman" w:hAnsi="Times New Roman" w:eastAsia="宋体" w:cs="Times New Roman"/>
      <w:b/>
      <w:bCs/>
      <w:sz w:val="32"/>
      <w:szCs w:val="32"/>
    </w:rPr>
  </w:style>
  <w:style w:type="character" w:customStyle="1" w:styleId="27">
    <w:name w:val="日期 Char"/>
    <w:link w:val="10"/>
    <w:qFormat/>
    <w:uiPriority w:val="0"/>
    <w:rPr>
      <w:szCs w:val="24"/>
    </w:rPr>
  </w:style>
  <w:style w:type="character" w:customStyle="1" w:styleId="28">
    <w:name w:val="页脚 Char"/>
    <w:link w:val="12"/>
    <w:qFormat/>
    <w:uiPriority w:val="99"/>
    <w:rPr>
      <w:sz w:val="18"/>
      <w:szCs w:val="18"/>
    </w:rPr>
  </w:style>
  <w:style w:type="character" w:customStyle="1" w:styleId="29">
    <w:name w:val="正文缩进 Char"/>
    <w:link w:val="5"/>
    <w:qFormat/>
    <w:uiPriority w:val="0"/>
    <w:rPr>
      <w:szCs w:val="24"/>
    </w:rPr>
  </w:style>
  <w:style w:type="character" w:customStyle="1" w:styleId="30">
    <w:name w:val="页眉 Char"/>
    <w:link w:val="13"/>
    <w:qFormat/>
    <w:uiPriority w:val="99"/>
    <w:rPr>
      <w:sz w:val="18"/>
      <w:szCs w:val="18"/>
    </w:rPr>
  </w:style>
  <w:style w:type="character" w:customStyle="1" w:styleId="31">
    <w:name w:val="纯文本 Char2"/>
    <w:link w:val="9"/>
    <w:qFormat/>
    <w:uiPriority w:val="0"/>
    <w:rPr>
      <w:rFonts w:ascii="宋体" w:hAnsi="宋体"/>
      <w:color w:val="000000"/>
      <w:sz w:val="24"/>
      <w:szCs w:val="24"/>
    </w:rPr>
  </w:style>
  <w:style w:type="paragraph" w:customStyle="1" w:styleId="32">
    <w:name w:val="样式1"/>
    <w:basedOn w:val="1"/>
    <w:qFormat/>
    <w:uiPriority w:val="0"/>
    <w:pPr>
      <w:adjustRightInd w:val="0"/>
      <w:textAlignment w:val="baseline"/>
    </w:pPr>
    <w:rPr>
      <w:rFonts w:ascii="宋体" w:hAnsi="宋体"/>
      <w:kern w:val="0"/>
      <w:szCs w:val="21"/>
    </w:rPr>
  </w:style>
  <w:style w:type="character" w:customStyle="1" w:styleId="33">
    <w:name w:val="页脚 Char1"/>
    <w:basedOn w:val="20"/>
    <w:semiHidden/>
    <w:qFormat/>
    <w:uiPriority w:val="99"/>
    <w:rPr>
      <w:rFonts w:ascii="Times New Roman" w:hAnsi="Times New Roman" w:eastAsia="宋体" w:cs="Times New Roman"/>
      <w:sz w:val="18"/>
      <w:szCs w:val="18"/>
    </w:rPr>
  </w:style>
  <w:style w:type="character" w:customStyle="1" w:styleId="34">
    <w:name w:val="纯文本 Char1"/>
    <w:basedOn w:val="20"/>
    <w:semiHidden/>
    <w:qFormat/>
    <w:uiPriority w:val="99"/>
    <w:rPr>
      <w:rFonts w:ascii="宋体" w:hAnsi="Courier New" w:eastAsia="宋体" w:cs="Courier New"/>
      <w:szCs w:val="21"/>
    </w:rPr>
  </w:style>
  <w:style w:type="character" w:customStyle="1" w:styleId="35">
    <w:name w:val="页眉 Char1"/>
    <w:basedOn w:val="20"/>
    <w:semiHidden/>
    <w:qFormat/>
    <w:uiPriority w:val="99"/>
    <w:rPr>
      <w:rFonts w:ascii="Times New Roman" w:hAnsi="Times New Roman" w:eastAsia="宋体" w:cs="Times New Roman"/>
      <w:sz w:val="18"/>
      <w:szCs w:val="18"/>
    </w:rPr>
  </w:style>
  <w:style w:type="character" w:customStyle="1" w:styleId="36">
    <w:name w:val="日期 Char1"/>
    <w:basedOn w:val="20"/>
    <w:semiHidden/>
    <w:qFormat/>
    <w:uiPriority w:val="99"/>
    <w:rPr>
      <w:rFonts w:ascii="Times New Roman" w:hAnsi="Times New Roman" w:eastAsia="宋体" w:cs="Times New Roman"/>
      <w:szCs w:val="24"/>
    </w:rPr>
  </w:style>
  <w:style w:type="character" w:customStyle="1" w:styleId="37">
    <w:name w:val="批注框文本 Char"/>
    <w:basedOn w:val="20"/>
    <w:link w:val="11"/>
    <w:semiHidden/>
    <w:qFormat/>
    <w:uiPriority w:val="99"/>
    <w:rPr>
      <w:rFonts w:ascii="Times New Roman" w:hAnsi="Times New Roman" w:eastAsia="宋体" w:cs="Times New Roman"/>
      <w:sz w:val="18"/>
      <w:szCs w:val="18"/>
    </w:rPr>
  </w:style>
  <w:style w:type="character" w:customStyle="1" w:styleId="38">
    <w:name w:val="批注文字 Char"/>
    <w:basedOn w:val="20"/>
    <w:link w:val="7"/>
    <w:semiHidden/>
    <w:qFormat/>
    <w:uiPriority w:val="99"/>
    <w:rPr>
      <w:rFonts w:ascii="Times New Roman" w:hAnsi="Times New Roman" w:eastAsia="宋体" w:cs="Times New Roman"/>
      <w:szCs w:val="24"/>
    </w:rPr>
  </w:style>
  <w:style w:type="character" w:customStyle="1" w:styleId="39">
    <w:name w:val="批注主题 Char"/>
    <w:basedOn w:val="38"/>
    <w:link w:val="17"/>
    <w:semiHidden/>
    <w:qFormat/>
    <w:uiPriority w:val="99"/>
    <w:rPr>
      <w:rFonts w:ascii="Times New Roman" w:hAnsi="Times New Roman" w:eastAsia="宋体" w:cs="Times New Roman"/>
      <w:b/>
      <w:bCs/>
      <w:szCs w:val="24"/>
    </w:rPr>
  </w:style>
  <w:style w:type="character" w:customStyle="1" w:styleId="40">
    <w:name w:val="纯文本 Char"/>
    <w:qFormat/>
    <w:uiPriority w:val="0"/>
    <w:rPr>
      <w:rFonts w:ascii="宋体" w:hAnsi="Courier New" w:eastAsia="宋体" w:cs="Courier New"/>
      <w:kern w:val="2"/>
      <w:sz w:val="21"/>
      <w:szCs w:val="21"/>
      <w:lang w:val="en-US" w:eastAsia="zh-CN" w:bidi="ar-SA"/>
    </w:rPr>
  </w:style>
  <w:style w:type="paragraph" w:customStyle="1" w:styleId="41">
    <w:name w:val="*正文"/>
    <w:basedOn w:val="1"/>
    <w:qFormat/>
    <w:uiPriority w:val="0"/>
    <w:pPr>
      <w:spacing w:line="576" w:lineRule="exact"/>
      <w:ind w:firstLine="200" w:firstLineChars="200"/>
    </w:pPr>
    <w:rPr>
      <w:rFonts w:eastAsia="仿宋_GB2312"/>
      <w:sz w:val="32"/>
    </w:rPr>
  </w:style>
  <w:style w:type="character" w:customStyle="1" w:styleId="42">
    <w:name w:val="文档结构图 Char"/>
    <w:basedOn w:val="20"/>
    <w:link w:val="6"/>
    <w:semiHidden/>
    <w:qFormat/>
    <w:uiPriority w:val="99"/>
    <w:rPr>
      <w:rFonts w:ascii="宋体" w:hAnsi="Times New Roman" w:eastAsia="宋体" w:cs="Times New Roman"/>
      <w:kern w:val="2"/>
      <w:sz w:val="24"/>
      <w:szCs w:val="24"/>
    </w:rPr>
  </w:style>
  <w:style w:type="paragraph" w:styleId="43">
    <w:name w:val="List Paragraph"/>
    <w:basedOn w:val="1"/>
    <w:qFormat/>
    <w:uiPriority w:val="99"/>
    <w:pPr>
      <w:ind w:firstLine="420" w:firstLineChars="200"/>
    </w:pPr>
  </w:style>
  <w:style w:type="character" w:customStyle="1" w:styleId="44">
    <w:name w:val="正文文本 Char"/>
    <w:basedOn w:val="20"/>
    <w:link w:val="8"/>
    <w:qFormat/>
    <w:uiPriority w:val="0"/>
    <w:rPr>
      <w:rFonts w:ascii="宋体" w:hAnsi="Times New Roman" w:eastAsia="宋体" w:cs="Times New Roman"/>
      <w:sz w:val="34"/>
    </w:rPr>
  </w:style>
  <w:style w:type="character" w:customStyle="1" w:styleId="45">
    <w:name w:val="副标题 Char"/>
    <w:basedOn w:val="20"/>
    <w:link w:val="15"/>
    <w:qFormat/>
    <w:uiPriority w:val="11"/>
    <w:rPr>
      <w:rFonts w:eastAsia="宋体" w:asciiTheme="majorHAnsi" w:hAnsiTheme="majorHAnsi" w:cstheme="majorBidi"/>
      <w:b/>
      <w:bCs/>
      <w:kern w:val="28"/>
      <w:sz w:val="32"/>
      <w:szCs w:val="32"/>
    </w:rPr>
  </w:style>
  <w:style w:type="paragraph" w:customStyle="1" w:styleId="46">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47">
    <w:name w:val="修订2"/>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D9BA3E-1E49-436F-B3FA-77678A7D4DD7}">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25</Pages>
  <Words>7990</Words>
  <Characters>8305</Characters>
  <Lines>69</Lines>
  <Paragraphs>19</Paragraphs>
  <TotalTime>0</TotalTime>
  <ScaleCrop>false</ScaleCrop>
  <LinksUpToDate>false</LinksUpToDate>
  <CharactersWithSpaces>8856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2022-12-02T19:35:00Z</dcterms:created>
  <dc:creator>008</dc:creator>
  <cp:lastModifiedBy>Y</cp:lastModifiedBy>
  <cp:lastPrinted>2026-10-16T02:08:00Z</cp:lastPrinted>
  <dcterms:modified xsi:type="dcterms:W3CDTF">2026-10-16T08:47:42Z</dcterms:modified>
  <cp:revision>284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13C7E9D2DBB84D379172A5DA3D143330_13</vt:lpwstr>
  </property>
  <property fmtid="{D5CDD505-2E9C-101B-9397-08002B2CF9AE}" pid="4" name="KSOTemplateDocerSaveRecord">
    <vt:lpwstr>eyJoZGlkIjoiMmFkN2MyYjAzNTc2YTRhNWJmODIzMWYyMzQ0MzNhN2UiLCJ1c2VySWQiOiIxMzE4MDE2MyJ9</vt:lpwstr>
  </property>
</Properties>
</file>