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44981">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70D4A7A3">
      <w:pPr>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u w:val="single"/>
          <w14:textFill>
            <w14:solidFill>
              <w14:schemeClr w14:val="tx1"/>
            </w14:solidFill>
          </w14:textFill>
        </w:rPr>
      </w:pPr>
    </w:p>
    <w:p w14:paraId="293006E3">
      <w:pPr>
        <w:pageBreakBefore w:val="0"/>
        <w:kinsoku/>
        <w:wordWrap/>
        <w:overflowPunct/>
        <w:bidi w:val="0"/>
        <w:spacing w:before="156" w:line="560" w:lineRule="exact"/>
        <w:jc w:val="center"/>
        <w:rPr>
          <w:rFonts w:hint="default" w:ascii="Times New Roman" w:hAnsi="Times New Roman" w:eastAsia="仿宋" w:cs="Times New Roman"/>
          <w:b/>
          <w:color w:val="000000" w:themeColor="text1"/>
          <w:kern w:val="1"/>
          <w:sz w:val="52"/>
          <w:szCs w:val="52"/>
          <w14:textFill>
            <w14:solidFill>
              <w14:schemeClr w14:val="tx1"/>
            </w14:solidFill>
          </w14:textFill>
        </w:rPr>
      </w:pPr>
      <w:r>
        <w:rPr>
          <w:rFonts w:hint="default" w:ascii="Times New Roman" w:hAnsi="Times New Roman" w:eastAsia="仿宋" w:cs="Times New Roman"/>
          <w:b/>
          <w:color w:val="000000" w:themeColor="text1"/>
          <w:kern w:val="1"/>
          <w:sz w:val="52"/>
          <w:szCs w:val="52"/>
          <w14:textFill>
            <w14:solidFill>
              <w14:schemeClr w14:val="tx1"/>
            </w14:solidFill>
          </w14:textFill>
        </w:rPr>
        <w:t>成都市温江区城市道路桥梁管护中心</w:t>
      </w:r>
    </w:p>
    <w:p w14:paraId="3284F0E2">
      <w:pPr>
        <w:pageBreakBefore w:val="0"/>
        <w:kinsoku/>
        <w:wordWrap/>
        <w:overflowPunct/>
        <w:bidi w:val="0"/>
        <w:spacing w:before="156" w:line="560" w:lineRule="exact"/>
        <w:jc w:val="center"/>
        <w:rPr>
          <w:rFonts w:hint="default" w:ascii="Times New Roman" w:hAnsi="Times New Roman" w:eastAsia="仿宋" w:cs="Times New Roman"/>
          <w:b/>
          <w:bCs w:val="0"/>
          <w:color w:val="000000" w:themeColor="text1"/>
          <w:kern w:val="1"/>
          <w:sz w:val="52"/>
          <w:szCs w:val="52"/>
          <w:highlight w:val="none"/>
          <w14:textFill>
            <w14:solidFill>
              <w14:schemeClr w14:val="tx1"/>
            </w14:solidFill>
          </w14:textFill>
        </w:rPr>
      </w:pPr>
      <w:r>
        <w:rPr>
          <w:rFonts w:hint="default" w:ascii="Times New Roman" w:hAnsi="Times New Roman" w:eastAsia="仿宋" w:cs="Times New Roman"/>
          <w:b/>
          <w:bCs w:val="0"/>
          <w:color w:val="000000" w:themeColor="text1"/>
          <w:kern w:val="1"/>
          <w:sz w:val="52"/>
          <w:szCs w:val="52"/>
          <w:highlight w:val="none"/>
          <w14:textFill>
            <w14:solidFill>
              <w14:schemeClr w14:val="tx1"/>
            </w14:solidFill>
          </w14:textFill>
        </w:rPr>
        <w:t>2026-2027年度公众责任险服务</w:t>
      </w:r>
    </w:p>
    <w:p w14:paraId="3119CD58">
      <w:pPr>
        <w:pageBreakBefore w:val="0"/>
        <w:kinsoku/>
        <w:wordWrap/>
        <w:overflowPunct/>
        <w:bidi w:val="0"/>
        <w:spacing w:line="560" w:lineRule="exact"/>
        <w:rPr>
          <w:rFonts w:hint="default" w:ascii="Times New Roman" w:hAnsi="Times New Roman" w:eastAsia="仿宋" w:cs="Times New Roman"/>
          <w:b/>
          <w:bCs/>
          <w:color w:val="000000" w:themeColor="text1"/>
          <w:sz w:val="52"/>
          <w:szCs w:val="52"/>
          <w14:textFill>
            <w14:solidFill>
              <w14:schemeClr w14:val="tx1"/>
            </w14:solidFill>
          </w14:textFill>
        </w:rPr>
      </w:pPr>
    </w:p>
    <w:p w14:paraId="45E76822">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5992BEE9">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6DB2D353">
      <w:pPr>
        <w:pageBreakBefore w:val="0"/>
        <w:kinsoku/>
        <w:wordWrap/>
        <w:overflowPunct/>
        <w:bidi w:val="0"/>
        <w:spacing w:line="560" w:lineRule="exact"/>
        <w:jc w:val="center"/>
        <w:rPr>
          <w:rFonts w:hint="default" w:ascii="Times New Roman" w:hAnsi="Times New Roman" w:eastAsia="仿宋" w:cs="Times New Roman"/>
          <w:b/>
          <w:bCs/>
          <w:color w:val="000000" w:themeColor="text1"/>
          <w:sz w:val="48"/>
          <w:szCs w:val="48"/>
          <w14:textFill>
            <w14:solidFill>
              <w14:schemeClr w14:val="tx1"/>
            </w14:solidFill>
          </w14:textFill>
        </w:rPr>
      </w:pPr>
      <w:r>
        <w:rPr>
          <w:rFonts w:hint="default" w:ascii="Times New Roman" w:hAnsi="Times New Roman" w:eastAsia="仿宋" w:cs="Times New Roman"/>
          <w:b/>
          <w:bCs/>
          <w:color w:val="000000" w:themeColor="text1"/>
          <w:sz w:val="48"/>
          <w:szCs w:val="48"/>
          <w14:textFill>
            <w14:solidFill>
              <w14:schemeClr w14:val="tx1"/>
            </w14:solidFill>
          </w14:textFill>
        </w:rPr>
        <w:t>比选文件</w:t>
      </w:r>
    </w:p>
    <w:p w14:paraId="0061F976">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49ABE355">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623D07F3">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5A66D5DC">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362737EF">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19998B97">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328CE970">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62E42F66">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66FB415B">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14:textFill>
            <w14:solidFill>
              <w14:schemeClr w14:val="tx1"/>
            </w14:solidFill>
          </w14:textFill>
        </w:rPr>
      </w:pPr>
    </w:p>
    <w:p w14:paraId="50073013">
      <w:pPr>
        <w:pageBreakBefore w:val="0"/>
        <w:kinsoku/>
        <w:wordWrap/>
        <w:overflowPunct/>
        <w:bidi w:val="0"/>
        <w:spacing w:before="156" w:line="560" w:lineRule="exact"/>
        <w:rPr>
          <w:rFonts w:hint="default" w:ascii="Times New Roman" w:hAnsi="Times New Roman" w:eastAsia="仿宋" w:cs="Times New Roman"/>
          <w:b/>
          <w:color w:val="000000" w:themeColor="text1"/>
          <w:spacing w:val="20"/>
          <w:sz w:val="28"/>
          <w:szCs w:val="28"/>
          <w:u w:val="single"/>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比选单位：</w:t>
      </w:r>
      <w:r>
        <w:rPr>
          <w:rFonts w:hint="default" w:ascii="Times New Roman" w:hAnsi="Times New Roman" w:eastAsia="仿宋" w:cs="Times New Roman"/>
          <w:b/>
          <w:color w:val="000000" w:themeColor="text1"/>
          <w:kern w:val="1"/>
          <w:sz w:val="28"/>
          <w:szCs w:val="28"/>
          <w:u w:val="single"/>
          <w14:textFill>
            <w14:solidFill>
              <w14:schemeClr w14:val="tx1"/>
            </w14:solidFill>
          </w14:textFill>
        </w:rPr>
        <w:t>成都市温江区城市道路桥梁管护中心</w:t>
      </w:r>
      <w:r>
        <w:rPr>
          <w:rFonts w:hint="default" w:ascii="Times New Roman" w:hAnsi="Times New Roman" w:eastAsia="仿宋" w:cs="Times New Roman"/>
          <w:b/>
          <w:color w:val="000000" w:themeColor="text1"/>
          <w:spacing w:val="20"/>
          <w:sz w:val="28"/>
          <w:szCs w:val="28"/>
          <w:u w:val="single"/>
          <w14:textFill>
            <w14:solidFill>
              <w14:schemeClr w14:val="tx1"/>
            </w14:solidFill>
          </w14:textFill>
        </w:rPr>
        <w:t>（盖章）</w:t>
      </w:r>
    </w:p>
    <w:p w14:paraId="3ECC37F2">
      <w:pPr>
        <w:pageBreakBefore w:val="0"/>
        <w:kinsoku/>
        <w:wordWrap/>
        <w:overflowPunct/>
        <w:bidi w:val="0"/>
        <w:spacing w:line="560" w:lineRule="exact"/>
        <w:ind w:firstLine="1124" w:firstLineChars="400"/>
        <w:rPr>
          <w:rFonts w:hint="default" w:ascii="Times New Roman" w:hAnsi="Times New Roman" w:eastAsia="仿宋" w:cs="Times New Roman"/>
          <w:b/>
          <w:bCs/>
          <w:color w:val="000000" w:themeColor="text1"/>
          <w:sz w:val="28"/>
          <w:szCs w:val="28"/>
          <w14:textFill>
            <w14:solidFill>
              <w14:schemeClr w14:val="tx1"/>
            </w14:solidFill>
          </w14:textFill>
        </w:rPr>
      </w:pPr>
    </w:p>
    <w:p w14:paraId="3B8B2019">
      <w:pPr>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二O二六 年七月</w:t>
      </w:r>
    </w:p>
    <w:p w14:paraId="635B291C">
      <w:pPr>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br w:type="page"/>
      </w:r>
    </w:p>
    <w:p w14:paraId="3B4502B2">
      <w:pPr>
        <w:pageBreakBefore w:val="0"/>
        <w:kinsoku/>
        <w:wordWrap/>
        <w:overflowPunct/>
        <w:bidi w:val="0"/>
        <w:spacing w:line="560" w:lineRule="exact"/>
        <w:jc w:val="center"/>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目 录</w:t>
      </w:r>
    </w:p>
    <w:p w14:paraId="6185333D">
      <w:pPr>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p w14:paraId="4E0B9D6D">
      <w:pPr>
        <w:pageBreakBefore w:val="0"/>
        <w:kinsoku/>
        <w:wordWrap/>
        <w:overflowPunct/>
        <w:bidi w:val="0"/>
        <w:spacing w:line="560" w:lineRule="exact"/>
        <w:jc w:val="left"/>
        <w:rPr>
          <w:rFonts w:hint="default" w:ascii="Times New Roman" w:hAnsi="Times New Roman" w:eastAsia="仿宋" w:cs="Times New Roman"/>
          <w:b/>
          <w:color w:val="000000" w:themeColor="text1"/>
          <w:sz w:val="24"/>
          <w:szCs w:val="24"/>
          <w:lang w:eastAsia="zh-CN"/>
          <w14:textFill>
            <w14:solidFill>
              <w14:schemeClr w14:val="tx1"/>
            </w14:solidFill>
          </w14:textFill>
        </w:rPr>
      </w:pPr>
      <w:r>
        <w:rPr>
          <w:rFonts w:hint="default" w:ascii="Times New Roman" w:hAnsi="Times New Roman" w:eastAsia="仿宋" w:cs="Times New Roman"/>
          <w:b/>
          <w:color w:val="000000" w:themeColor="text1"/>
          <w:sz w:val="24"/>
          <w:szCs w:val="24"/>
          <w14:textFill>
            <w14:solidFill>
              <w14:schemeClr w14:val="tx1"/>
            </w14:solidFill>
          </w14:textFill>
        </w:rPr>
        <w:t>第一章   比选公告</w:t>
      </w:r>
      <w:r>
        <w:rPr>
          <w:rFonts w:hint="default" w:ascii="Times New Roman" w:hAnsi="Times New Roman" w:eastAsia="仿宋" w:cs="Times New Roman"/>
          <w:b/>
          <w:color w:val="000000" w:themeColor="text1"/>
          <w:sz w:val="24"/>
          <w:szCs w:val="24"/>
          <w14:textFill>
            <w14:solidFill>
              <w14:schemeClr w14:val="tx1"/>
            </w14:solidFill>
          </w14:textFill>
        </w:rPr>
        <w:t>………………………………………………………………</w:t>
      </w:r>
      <w:r>
        <w:rPr>
          <w:rFonts w:hint="default" w:ascii="Times New Roman" w:hAnsi="Times New Roman" w:eastAsia="仿宋" w:cs="Times New Roman"/>
          <w:b/>
          <w:color w:val="000000" w:themeColor="text1"/>
          <w:sz w:val="24"/>
          <w:szCs w:val="24"/>
          <w14:textFill>
            <w14:solidFill>
              <w14:schemeClr w14:val="tx1"/>
            </w14:solidFill>
          </w14:textFill>
        </w:rPr>
        <w:t>3－</w:t>
      </w:r>
      <w:r>
        <w:rPr>
          <w:rFonts w:hint="default" w:ascii="Times New Roman" w:hAnsi="Times New Roman" w:eastAsia="仿宋" w:cs="Times New Roman"/>
          <w:b/>
          <w:color w:val="000000" w:themeColor="text1"/>
          <w:sz w:val="24"/>
          <w:szCs w:val="24"/>
          <w:lang w:val="en-US" w:eastAsia="zh-CN"/>
          <w14:textFill>
            <w14:solidFill>
              <w14:schemeClr w14:val="tx1"/>
            </w14:solidFill>
          </w14:textFill>
        </w:rPr>
        <w:t>6</w:t>
      </w:r>
    </w:p>
    <w:p w14:paraId="2EA33883">
      <w:pPr>
        <w:pageBreakBefore w:val="0"/>
        <w:kinsoku/>
        <w:wordWrap/>
        <w:overflowPunct/>
        <w:bidi w:val="0"/>
        <w:spacing w:line="560" w:lineRule="exact"/>
        <w:jc w:val="left"/>
        <w:rPr>
          <w:rFonts w:hint="default" w:ascii="Times New Roman" w:hAnsi="Times New Roman" w:eastAsia="仿宋" w:cs="Times New Roman"/>
          <w:b/>
          <w:color w:val="000000" w:themeColor="text1"/>
          <w:sz w:val="24"/>
          <w:szCs w:val="24"/>
          <w14:textFill>
            <w14:solidFill>
              <w14:schemeClr w14:val="tx1"/>
            </w14:solidFill>
          </w14:textFill>
        </w:rPr>
      </w:pPr>
    </w:p>
    <w:p w14:paraId="46BBD23B">
      <w:pPr>
        <w:pStyle w:val="7"/>
        <w:pageBreakBefore w:val="0"/>
        <w:kinsoku/>
        <w:wordWrap/>
        <w:overflowPunct/>
        <w:bidi w:val="0"/>
        <w:spacing w:line="560" w:lineRule="exact"/>
        <w:rPr>
          <w:rFonts w:hint="default" w:ascii="Times New Roman" w:hAnsi="Times New Roman" w:eastAsia="仿宋" w:cs="Times New Roman"/>
          <w:b/>
          <w:color w:val="000000" w:themeColor="text1"/>
          <w:sz w:val="24"/>
          <w:szCs w:val="24"/>
          <w14:textFill>
            <w14:solidFill>
              <w14:schemeClr w14:val="tx1"/>
            </w14:solidFill>
          </w14:textFill>
        </w:rPr>
      </w:pPr>
      <w:r>
        <w:rPr>
          <w:rFonts w:hint="default" w:ascii="Times New Roman" w:hAnsi="Times New Roman" w:eastAsia="仿宋" w:cs="Times New Roman"/>
          <w:b/>
          <w:color w:val="000000" w:themeColor="text1"/>
          <w:sz w:val="24"/>
          <w:szCs w:val="24"/>
          <w14:textFill>
            <w14:solidFill>
              <w14:schemeClr w14:val="tx1"/>
            </w14:solidFill>
          </w14:textFill>
        </w:rPr>
        <w:t>第二章   评审办法</w:t>
      </w:r>
      <w:r>
        <w:rPr>
          <w:rFonts w:hint="default" w:ascii="Times New Roman" w:hAnsi="Times New Roman" w:eastAsia="仿宋" w:cs="Times New Roman"/>
          <w:b/>
          <w:color w:val="000000" w:themeColor="text1"/>
          <w:sz w:val="24"/>
          <w:szCs w:val="24"/>
          <w14:textFill>
            <w14:solidFill>
              <w14:schemeClr w14:val="tx1"/>
            </w14:solidFill>
          </w14:textFill>
        </w:rPr>
        <w:t>………………………………………………………………</w:t>
      </w:r>
      <w:r>
        <w:rPr>
          <w:rFonts w:hint="default" w:ascii="Times New Roman" w:hAnsi="Times New Roman" w:eastAsia="仿宋" w:cs="Times New Roman"/>
          <w:b/>
          <w:color w:val="000000" w:themeColor="text1"/>
          <w:sz w:val="24"/>
          <w:szCs w:val="24"/>
          <w:lang w:val="en-US" w:eastAsia="zh-CN"/>
          <w14:textFill>
            <w14:solidFill>
              <w14:schemeClr w14:val="tx1"/>
            </w14:solidFill>
          </w14:textFill>
        </w:rPr>
        <w:t>7</w:t>
      </w:r>
      <w:r>
        <w:rPr>
          <w:rFonts w:hint="default" w:ascii="Times New Roman" w:hAnsi="Times New Roman" w:eastAsia="仿宋" w:cs="Times New Roman"/>
          <w:b/>
          <w:color w:val="000000" w:themeColor="text1"/>
          <w:sz w:val="24"/>
          <w:szCs w:val="24"/>
          <w14:textFill>
            <w14:solidFill>
              <w14:schemeClr w14:val="tx1"/>
            </w14:solidFill>
          </w14:textFill>
        </w:rPr>
        <w:t>-8</w:t>
      </w:r>
    </w:p>
    <w:p w14:paraId="2E7CF6B4">
      <w:pPr>
        <w:pageBreakBefore w:val="0"/>
        <w:kinsoku/>
        <w:wordWrap/>
        <w:overflowPunct/>
        <w:bidi w:val="0"/>
        <w:spacing w:line="560" w:lineRule="exact"/>
        <w:jc w:val="left"/>
        <w:rPr>
          <w:rFonts w:hint="default" w:ascii="Times New Roman" w:hAnsi="Times New Roman" w:eastAsia="仿宋" w:cs="Times New Roman"/>
          <w:b/>
          <w:color w:val="000000" w:themeColor="text1"/>
          <w:sz w:val="24"/>
          <w:szCs w:val="24"/>
          <w14:textFill>
            <w14:solidFill>
              <w14:schemeClr w14:val="tx1"/>
            </w14:solidFill>
          </w14:textFill>
        </w:rPr>
      </w:pPr>
    </w:p>
    <w:p w14:paraId="0B1125FE">
      <w:pPr>
        <w:pageBreakBefore w:val="0"/>
        <w:tabs>
          <w:tab w:val="left" w:pos="5220"/>
        </w:tabs>
        <w:kinsoku/>
        <w:wordWrap/>
        <w:overflowPunct/>
        <w:bidi w:val="0"/>
        <w:adjustRightInd w:val="0"/>
        <w:snapToGrid w:val="0"/>
        <w:spacing w:line="560" w:lineRule="exact"/>
        <w:rPr>
          <w:rFonts w:hint="default" w:ascii="Times New Roman" w:hAnsi="Times New Roman" w:eastAsia="仿宋" w:cs="Times New Roman"/>
          <w:b/>
          <w:color w:val="000000" w:themeColor="text1"/>
          <w:sz w:val="24"/>
          <w:szCs w:val="24"/>
          <w:lang w:eastAsia="zh-CN"/>
          <w14:textFill>
            <w14:solidFill>
              <w14:schemeClr w14:val="tx1"/>
            </w14:solidFill>
          </w14:textFill>
        </w:rPr>
      </w:pPr>
      <w:r>
        <w:rPr>
          <w:rFonts w:hint="default" w:ascii="Times New Roman" w:hAnsi="Times New Roman" w:eastAsia="仿宋" w:cs="Times New Roman"/>
          <w:b/>
          <w:bCs/>
          <w:color w:val="000000" w:themeColor="text1"/>
          <w:kern w:val="28"/>
          <w:sz w:val="24"/>
          <w:szCs w:val="24"/>
          <w14:textFill>
            <w14:solidFill>
              <w14:schemeClr w14:val="tx1"/>
            </w14:solidFill>
          </w14:textFill>
        </w:rPr>
        <w:t>第三章   投标文件</w:t>
      </w:r>
      <w:r>
        <w:rPr>
          <w:rFonts w:hint="default" w:ascii="Times New Roman" w:hAnsi="Times New Roman" w:eastAsia="仿宋" w:cs="Times New Roman"/>
          <w:b/>
          <w:color w:val="000000" w:themeColor="text1"/>
          <w:sz w:val="24"/>
          <w:szCs w:val="24"/>
          <w14:textFill>
            <w14:solidFill>
              <w14:schemeClr w14:val="tx1"/>
            </w14:solidFill>
          </w14:textFill>
        </w:rPr>
        <w:t>……………………………………………………………</w:t>
      </w:r>
      <w:r>
        <w:rPr>
          <w:rFonts w:hint="default" w:ascii="Times New Roman" w:hAnsi="Times New Roman" w:eastAsia="仿宋" w:cs="Times New Roman"/>
          <w:b/>
          <w:color w:val="000000" w:themeColor="text1"/>
          <w:sz w:val="24"/>
          <w:szCs w:val="24"/>
          <w14:textFill>
            <w14:solidFill>
              <w14:schemeClr w14:val="tx1"/>
            </w14:solidFill>
          </w14:textFill>
        </w:rPr>
        <w:t>9－1</w:t>
      </w:r>
      <w:r>
        <w:rPr>
          <w:rFonts w:hint="default" w:ascii="Times New Roman" w:hAnsi="Times New Roman" w:eastAsia="仿宋" w:cs="Times New Roman"/>
          <w:b/>
          <w:color w:val="000000" w:themeColor="text1"/>
          <w:sz w:val="24"/>
          <w:szCs w:val="24"/>
          <w:lang w:val="en-US" w:eastAsia="zh-CN"/>
          <w14:textFill>
            <w14:solidFill>
              <w14:schemeClr w14:val="tx1"/>
            </w14:solidFill>
          </w14:textFill>
        </w:rPr>
        <w:t>4</w:t>
      </w:r>
    </w:p>
    <w:p w14:paraId="2BEB4982">
      <w:pPr>
        <w:pageBreakBefore w:val="0"/>
        <w:kinsoku/>
        <w:wordWrap/>
        <w:overflowPunct/>
        <w:bidi w:val="0"/>
        <w:spacing w:line="560" w:lineRule="exact"/>
        <w:jc w:val="left"/>
        <w:rPr>
          <w:rFonts w:hint="default" w:ascii="Times New Roman" w:hAnsi="Times New Roman" w:eastAsia="仿宋" w:cs="Times New Roman"/>
          <w:b/>
          <w:color w:val="000000" w:themeColor="text1"/>
          <w:sz w:val="24"/>
          <w:szCs w:val="24"/>
          <w14:textFill>
            <w14:solidFill>
              <w14:schemeClr w14:val="tx1"/>
            </w14:solidFill>
          </w14:textFill>
        </w:rPr>
      </w:pPr>
    </w:p>
    <w:p w14:paraId="7C6FB798">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b/>
          <w:color w:val="000000" w:themeColor="text1"/>
          <w:sz w:val="24"/>
          <w:szCs w:val="24"/>
          <w:lang w:eastAsia="zh-CN"/>
          <w14:textFill>
            <w14:solidFill>
              <w14:schemeClr w14:val="tx1"/>
            </w14:solidFill>
          </w14:textFill>
        </w:rPr>
      </w:pPr>
      <w:r>
        <w:rPr>
          <w:rFonts w:hint="default" w:ascii="Times New Roman" w:hAnsi="Times New Roman" w:eastAsia="仿宋" w:cs="Times New Roman"/>
          <w:b/>
          <w:bCs/>
          <w:color w:val="000000" w:themeColor="text1"/>
          <w:sz w:val="24"/>
          <w:szCs w:val="24"/>
          <w14:textFill>
            <w14:solidFill>
              <w14:schemeClr w14:val="tx1"/>
            </w14:solidFill>
          </w14:textFill>
        </w:rPr>
        <w:t>第四章   成都市温江区城市道路桥梁管护中心现有管护道路桥梁统计表</w:t>
      </w:r>
      <w:r>
        <w:rPr>
          <w:rFonts w:hint="default" w:ascii="Times New Roman" w:hAnsi="Times New Roman" w:eastAsia="仿宋" w:cs="Times New Roman"/>
          <w:b/>
          <w:color w:val="000000" w:themeColor="text1"/>
          <w:sz w:val="24"/>
          <w:szCs w:val="24"/>
          <w14:textFill>
            <w14:solidFill>
              <w14:schemeClr w14:val="tx1"/>
            </w14:solidFill>
          </w14:textFill>
        </w:rPr>
        <w:t>……</w:t>
      </w:r>
      <w:r>
        <w:rPr>
          <w:rFonts w:hint="default" w:ascii="Times New Roman" w:hAnsi="Times New Roman" w:eastAsia="仿宋" w:cs="Times New Roman"/>
          <w:b/>
          <w:color w:val="000000" w:themeColor="text1"/>
          <w:sz w:val="24"/>
          <w:szCs w:val="24"/>
          <w14:textFill>
            <w14:solidFill>
              <w14:schemeClr w14:val="tx1"/>
            </w14:solidFill>
          </w14:textFill>
        </w:rPr>
        <w:t>1</w:t>
      </w:r>
      <w:r>
        <w:rPr>
          <w:rFonts w:hint="default" w:ascii="Times New Roman" w:hAnsi="Times New Roman" w:eastAsia="仿宋" w:cs="Times New Roman"/>
          <w:b/>
          <w:color w:val="000000" w:themeColor="text1"/>
          <w:sz w:val="24"/>
          <w:szCs w:val="24"/>
          <w:lang w:val="en-US" w:eastAsia="zh-CN"/>
          <w14:textFill>
            <w14:solidFill>
              <w14:schemeClr w14:val="tx1"/>
            </w14:solidFill>
          </w14:textFill>
        </w:rPr>
        <w:t>5</w:t>
      </w:r>
    </w:p>
    <w:p w14:paraId="64E34B56">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7ECE0BAA">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41A26867">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0E8C03C6">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2C7979EE">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4B475F60">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0C22BD65">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2BC8852A">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46A95BF2">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6A393BE3">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30BB5FAA">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1F51BB53">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108CB903">
      <w:pPr>
        <w:pStyle w:val="2"/>
        <w:rPr>
          <w:rFonts w:hint="default" w:ascii="Times New Roman" w:hAnsi="Times New Roman" w:eastAsia="仿宋" w:cs="Times New Roman"/>
          <w:b/>
          <w:bCs/>
          <w:color w:val="000000" w:themeColor="text1"/>
          <w:sz w:val="28"/>
          <w:szCs w:val="28"/>
          <w14:textFill>
            <w14:solidFill>
              <w14:schemeClr w14:val="tx1"/>
            </w14:solidFill>
          </w14:textFill>
        </w:rPr>
      </w:pPr>
    </w:p>
    <w:p w14:paraId="63299BED">
      <w:pPr>
        <w:rPr>
          <w:rFonts w:hint="default" w:ascii="Times New Roman" w:hAnsi="Times New Roman" w:eastAsia="仿宋" w:cs="Times New Roman"/>
          <w:b/>
          <w:bCs/>
          <w:color w:val="000000" w:themeColor="text1"/>
          <w:sz w:val="28"/>
          <w:szCs w:val="28"/>
          <w14:textFill>
            <w14:solidFill>
              <w14:schemeClr w14:val="tx1"/>
            </w14:solidFill>
          </w14:textFill>
        </w:rPr>
      </w:pPr>
    </w:p>
    <w:p w14:paraId="373A14D8">
      <w:pPr>
        <w:pStyle w:val="2"/>
        <w:rPr>
          <w:rFonts w:hint="default" w:ascii="Times New Roman" w:hAnsi="Times New Roman" w:eastAsia="仿宋" w:cs="Times New Roman"/>
          <w:b/>
          <w:bCs/>
          <w:color w:val="000000" w:themeColor="text1"/>
          <w:sz w:val="28"/>
          <w:szCs w:val="28"/>
          <w14:textFill>
            <w14:solidFill>
              <w14:schemeClr w14:val="tx1"/>
            </w14:solidFill>
          </w14:textFill>
        </w:rPr>
      </w:pPr>
    </w:p>
    <w:p w14:paraId="59BE00C8">
      <w:pPr>
        <w:rPr>
          <w:rFonts w:hint="default"/>
        </w:rPr>
      </w:pPr>
    </w:p>
    <w:p w14:paraId="1D8C2C55">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p>
    <w:p w14:paraId="504B3855">
      <w:pPr>
        <w:keepNext w:val="0"/>
        <w:keepLines w:val="0"/>
        <w:pageBreakBefore w:val="0"/>
        <w:kinsoku/>
        <w:wordWrap/>
        <w:overflowPunct/>
        <w:topLinePunct w:val="0"/>
        <w:autoSpaceDE/>
        <w:autoSpaceDN/>
        <w:bidi w:val="0"/>
        <w:spacing w:line="50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第一章 比选公告</w:t>
      </w:r>
    </w:p>
    <w:p w14:paraId="70BCFC5A">
      <w:pPr>
        <w:keepNext w:val="0"/>
        <w:keepLines w:val="0"/>
        <w:pageBreakBefore w:val="0"/>
        <w:kinsoku/>
        <w:wordWrap/>
        <w:overflowPunct/>
        <w:topLinePunct w:val="0"/>
        <w:autoSpaceDE/>
        <w:autoSpaceDN/>
        <w:bidi w:val="0"/>
        <w:spacing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bookmarkStart w:id="0" w:name="OLE_LINK1"/>
      <w:r>
        <w:rPr>
          <w:rFonts w:hint="default" w:ascii="Times New Roman" w:hAnsi="Times New Roman" w:eastAsia="仿宋" w:cs="Times New Roman"/>
          <w:color w:val="000000" w:themeColor="text1"/>
          <w:kern w:val="1"/>
          <w:sz w:val="28"/>
          <w:szCs w:val="28"/>
          <w14:textFill>
            <w14:solidFill>
              <w14:schemeClr w14:val="tx1"/>
            </w14:solidFill>
          </w14:textFill>
        </w:rPr>
        <w:t>根据《成都市市政设施管理条例》等有关规定，为有效防范、化解因道路、桥梁和</w:t>
      </w:r>
      <w:r>
        <w:rPr>
          <w:rFonts w:hint="default" w:ascii="Times New Roman" w:hAnsi="Times New Roman" w:eastAsia="仿宋" w:cs="Times New Roman"/>
          <w:color w:val="000000" w:themeColor="text1"/>
          <w:sz w:val="28"/>
          <w:szCs w:val="28"/>
          <w14:textFill>
            <w14:solidFill>
              <w14:schemeClr w14:val="tx1"/>
            </w14:solidFill>
          </w14:textFill>
        </w:rPr>
        <w:t>隧道</w:t>
      </w:r>
      <w:r>
        <w:rPr>
          <w:rFonts w:hint="default" w:ascii="Times New Roman" w:hAnsi="Times New Roman" w:eastAsia="仿宋" w:cs="Times New Roman"/>
          <w:color w:val="000000" w:themeColor="text1"/>
          <w:kern w:val="1"/>
          <w:sz w:val="28"/>
          <w:szCs w:val="28"/>
          <w14:textFill>
            <w14:solidFill>
              <w14:schemeClr w14:val="tx1"/>
            </w14:solidFill>
          </w14:textFill>
        </w:rPr>
        <w:t>设施突发事件造成的第三方人员伤亡及赔付尴尬困局，我中心现就</w:t>
      </w:r>
      <w:r>
        <w:rPr>
          <w:rFonts w:hint="default" w:ascii="Times New Roman" w:hAnsi="Times New Roman" w:eastAsia="仿宋" w:cs="Times New Roman"/>
          <w:color w:val="auto"/>
          <w:kern w:val="1"/>
          <w:sz w:val="28"/>
          <w:szCs w:val="28"/>
          <w:u w:val="single"/>
        </w:rPr>
        <w:t>2026-2027年度</w:t>
      </w:r>
      <w:r>
        <w:rPr>
          <w:rFonts w:hint="default" w:ascii="Times New Roman" w:hAnsi="Times New Roman" w:eastAsia="仿宋" w:cs="Times New Roman"/>
          <w:color w:val="000000" w:themeColor="text1"/>
          <w:kern w:val="1"/>
          <w:sz w:val="28"/>
          <w:szCs w:val="28"/>
          <w:u w:val="single"/>
          <w14:textFill>
            <w14:solidFill>
              <w14:schemeClr w14:val="tx1"/>
            </w14:solidFill>
          </w14:textFill>
        </w:rPr>
        <w:t>公众责任险服务</w:t>
      </w:r>
      <w:r>
        <w:rPr>
          <w:rFonts w:hint="default" w:ascii="Times New Roman" w:hAnsi="Times New Roman" w:eastAsia="仿宋" w:cs="Times New Roman"/>
          <w:color w:val="000000" w:themeColor="text1"/>
          <w:kern w:val="1"/>
          <w:sz w:val="28"/>
          <w:szCs w:val="28"/>
          <w14:textFill>
            <w14:solidFill>
              <w14:schemeClr w14:val="tx1"/>
            </w14:solidFill>
          </w14:textFill>
        </w:rPr>
        <w:t>选择和确定一家承保单位，</w:t>
      </w:r>
      <w:bookmarkStart w:id="1" w:name="EBf5670e6d291445918fbaeeb8f3e1df8e"/>
      <w:r>
        <w:rPr>
          <w:rFonts w:hint="default" w:ascii="Times New Roman" w:hAnsi="Times New Roman" w:eastAsia="仿宋" w:cs="Times New Roman"/>
          <w:color w:val="000000" w:themeColor="text1"/>
          <w:sz w:val="28"/>
          <w:szCs w:val="28"/>
          <w:shd w:val="clear" w:color="auto" w:fill="FFFFFF"/>
          <w14:textFill>
            <w14:solidFill>
              <w14:schemeClr w14:val="tx1"/>
            </w14:solidFill>
          </w14:textFill>
        </w:rPr>
        <w:t>现诚邀符合资格条件的意向人报名参加。</w:t>
      </w:r>
      <w:bookmarkEnd w:id="1"/>
    </w:p>
    <w:p w14:paraId="1D2A02FB">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一.项目情况</w:t>
      </w:r>
      <w:r>
        <w:rPr>
          <w:rFonts w:hint="default" w:ascii="Times New Roman" w:hAnsi="Times New Roman" w:eastAsia="仿宋" w:cs="Times New Roman"/>
          <w:color w:val="000000" w:themeColor="text1"/>
          <w:sz w:val="28"/>
          <w:szCs w:val="28"/>
          <w14:textFill>
            <w14:solidFill>
              <w14:schemeClr w14:val="tx1"/>
            </w14:solidFill>
          </w14:textFill>
        </w:rPr>
        <w:t xml:space="preserve"> </w:t>
      </w:r>
    </w:p>
    <w:p w14:paraId="6FC11B71">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kern w:val="1"/>
          <w:sz w:val="28"/>
          <w:szCs w:val="28"/>
          <w:lang w:eastAsia="zh-CN"/>
          <w14:textFill>
            <w14:solidFill>
              <w14:schemeClr w14:val="tx1"/>
            </w14:solidFill>
          </w14:textFill>
        </w:rPr>
      </w:pPr>
      <w:r>
        <w:rPr>
          <w:rFonts w:hint="default" w:ascii="Times New Roman" w:hAnsi="Times New Roman" w:eastAsia="仿宋" w:cs="Times New Roman"/>
          <w:color w:val="000000" w:themeColor="text1"/>
          <w:kern w:val="1"/>
          <w:sz w:val="28"/>
          <w:szCs w:val="28"/>
          <w14:textFill>
            <w14:solidFill>
              <w14:schemeClr w14:val="tx1"/>
            </w14:solidFill>
          </w14:textFill>
        </w:rPr>
        <w:t>1.1项目名称：成都市温江区城市道路桥梁管护中心2026-2027年度公众责任险服务</w:t>
      </w:r>
      <w:r>
        <w:rPr>
          <w:rFonts w:hint="default" w:ascii="Times New Roman" w:hAnsi="Times New Roman" w:eastAsia="仿宋" w:cs="Times New Roman"/>
          <w:color w:val="000000" w:themeColor="text1"/>
          <w:kern w:val="1"/>
          <w:sz w:val="28"/>
          <w:szCs w:val="28"/>
          <w:lang w:eastAsia="zh-CN"/>
          <w14:textFill>
            <w14:solidFill>
              <w14:schemeClr w14:val="tx1"/>
            </w14:solidFill>
          </w14:textFill>
        </w:rPr>
        <w:t>。</w:t>
      </w:r>
    </w:p>
    <w:p w14:paraId="5E46AA19">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kern w:val="1"/>
          <w:sz w:val="28"/>
          <w:szCs w:val="28"/>
          <w14:textFill>
            <w14:solidFill>
              <w14:schemeClr w14:val="tx1"/>
            </w14:solidFill>
          </w14:textFill>
        </w:rPr>
      </w:pPr>
      <w:r>
        <w:rPr>
          <w:rFonts w:hint="default" w:ascii="Times New Roman" w:hAnsi="Times New Roman" w:eastAsia="仿宋" w:cs="Times New Roman"/>
          <w:color w:val="000000" w:themeColor="text1"/>
          <w:kern w:val="1"/>
          <w:sz w:val="28"/>
          <w:szCs w:val="28"/>
          <w14:textFill>
            <w14:solidFill>
              <w14:schemeClr w14:val="tx1"/>
            </w14:solidFill>
          </w14:textFill>
        </w:rPr>
        <w:t>1.2项目内容：温江区区域范围内成都市温江区城市道路桥梁管护中心管护（含现有管护和本保险合同期满前新移交接收）的市政道路、市政桥隧及其附属设施，包括道路、桥梁、隧道、人行天桥、过街隧道、广场设施及相关市政设施、非市政通行公交的道路桥梁等设施造成第三者的人身意外及财产损失的公众责任险保险项目。</w:t>
      </w:r>
    </w:p>
    <w:p w14:paraId="57F85839">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1.3项目地点：</w:t>
      </w:r>
      <w:r>
        <w:rPr>
          <w:rFonts w:hint="default" w:ascii="Times New Roman" w:hAnsi="Times New Roman" w:eastAsia="仿宋" w:cs="Times New Roman"/>
          <w:bCs/>
          <w:color w:val="000000" w:themeColor="text1"/>
          <w:kern w:val="1"/>
          <w:sz w:val="28"/>
          <w:szCs w:val="28"/>
          <w14:textFill>
            <w14:solidFill>
              <w14:schemeClr w14:val="tx1"/>
            </w14:solidFill>
          </w14:textFill>
        </w:rPr>
        <w:t>成都市温江区</w:t>
      </w:r>
      <w:r>
        <w:rPr>
          <w:rFonts w:hint="default" w:ascii="Times New Roman" w:hAnsi="Times New Roman" w:eastAsia="仿宋" w:cs="Times New Roman"/>
          <w:color w:val="000000" w:themeColor="text1"/>
          <w:sz w:val="28"/>
          <w:szCs w:val="28"/>
          <w14:textFill>
            <w14:solidFill>
              <w14:schemeClr w14:val="tx1"/>
            </w14:solidFill>
          </w14:textFill>
        </w:rPr>
        <w:t>。</w:t>
      </w:r>
    </w:p>
    <w:p w14:paraId="6D5D660F">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1.4投标要求：</w:t>
      </w:r>
    </w:p>
    <w:p w14:paraId="3321481C">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年度累计赔偿限额：RMB</w:t>
      </w:r>
      <w:r>
        <w:rPr>
          <w:rFonts w:hint="default" w:ascii="Times New Roman" w:hAnsi="Times New Roman" w:eastAsia="仿宋" w:cs="Times New Roman"/>
          <w:color w:val="000000" w:themeColor="text1"/>
          <w:sz w:val="28"/>
          <w:szCs w:val="28"/>
          <w:u w:val="single"/>
          <w14:textFill>
            <w14:solidFill>
              <w14:schemeClr w14:val="tx1"/>
            </w14:solidFill>
          </w14:textFill>
        </w:rPr>
        <w:t>800</w:t>
      </w:r>
      <w:r>
        <w:rPr>
          <w:rFonts w:hint="default" w:ascii="Times New Roman" w:hAnsi="Times New Roman" w:eastAsia="仿宋" w:cs="Times New Roman"/>
          <w:color w:val="000000" w:themeColor="text1"/>
          <w:sz w:val="28"/>
          <w:szCs w:val="28"/>
          <w14:textFill>
            <w14:solidFill>
              <w14:schemeClr w14:val="tx1"/>
            </w14:solidFill>
          </w14:textFill>
        </w:rPr>
        <w:t>万；每次事故赔偿限额：RMB</w:t>
      </w:r>
      <w:r>
        <w:rPr>
          <w:rFonts w:hint="default" w:ascii="Times New Roman" w:hAnsi="Times New Roman" w:eastAsia="仿宋" w:cs="Times New Roman"/>
          <w:color w:val="000000" w:themeColor="text1"/>
          <w:sz w:val="28"/>
          <w:szCs w:val="28"/>
          <w:u w:val="single"/>
          <w14:textFill>
            <w14:solidFill>
              <w14:schemeClr w14:val="tx1"/>
            </w14:solidFill>
          </w14:textFill>
        </w:rPr>
        <w:t>400</w:t>
      </w:r>
      <w:r>
        <w:rPr>
          <w:rFonts w:hint="default" w:ascii="Times New Roman" w:hAnsi="Times New Roman" w:eastAsia="仿宋" w:cs="Times New Roman"/>
          <w:color w:val="000000" w:themeColor="text1"/>
          <w:sz w:val="28"/>
          <w:szCs w:val="28"/>
          <w14:textFill>
            <w14:solidFill>
              <w14:schemeClr w14:val="tx1"/>
            </w14:solidFill>
          </w14:textFill>
        </w:rPr>
        <w:t>万；每次事故财产损失限额：RMB</w:t>
      </w:r>
      <w:r>
        <w:rPr>
          <w:rFonts w:hint="default" w:ascii="Times New Roman" w:hAnsi="Times New Roman" w:eastAsia="仿宋" w:cs="Times New Roman"/>
          <w:color w:val="000000" w:themeColor="text1"/>
          <w:sz w:val="28"/>
          <w:szCs w:val="28"/>
          <w:u w:val="single"/>
          <w14:textFill>
            <w14:solidFill>
              <w14:schemeClr w14:val="tx1"/>
            </w14:solidFill>
          </w14:textFill>
        </w:rPr>
        <w:t>300</w:t>
      </w:r>
      <w:r>
        <w:rPr>
          <w:rFonts w:hint="default" w:ascii="Times New Roman" w:hAnsi="Times New Roman" w:eastAsia="仿宋" w:cs="Times New Roman"/>
          <w:color w:val="000000" w:themeColor="text1"/>
          <w:sz w:val="28"/>
          <w:szCs w:val="28"/>
          <w14:textFill>
            <w14:solidFill>
              <w14:schemeClr w14:val="tx1"/>
            </w14:solidFill>
          </w14:textFill>
        </w:rPr>
        <w:t>万；每次事故人身伤害限额：RMB</w:t>
      </w:r>
      <w:r>
        <w:rPr>
          <w:rFonts w:hint="default" w:ascii="Times New Roman" w:hAnsi="Times New Roman" w:eastAsia="仿宋" w:cs="Times New Roman"/>
          <w:color w:val="000000" w:themeColor="text1"/>
          <w:sz w:val="28"/>
          <w:szCs w:val="28"/>
          <w:u w:val="single"/>
          <w14:textFill>
            <w14:solidFill>
              <w14:schemeClr w14:val="tx1"/>
            </w14:solidFill>
          </w14:textFill>
        </w:rPr>
        <w:t>500</w:t>
      </w:r>
      <w:r>
        <w:rPr>
          <w:rFonts w:hint="default" w:ascii="Times New Roman" w:hAnsi="Times New Roman" w:eastAsia="仿宋" w:cs="Times New Roman"/>
          <w:color w:val="000000" w:themeColor="text1"/>
          <w:sz w:val="28"/>
          <w:szCs w:val="28"/>
          <w14:textFill>
            <w14:solidFill>
              <w14:schemeClr w14:val="tx1"/>
            </w14:solidFill>
          </w14:textFill>
        </w:rPr>
        <w:t>万；</w:t>
      </w:r>
      <w:r>
        <w:rPr>
          <w:rFonts w:hint="default" w:ascii="Times New Roman" w:hAnsi="Times New Roman" w:eastAsia="仿宋" w:cs="Times New Roman"/>
          <w:color w:val="000000" w:themeColor="text1"/>
          <w:sz w:val="28"/>
          <w:szCs w:val="28"/>
          <w14:textFill>
            <w14:solidFill>
              <w14:schemeClr w14:val="tx1"/>
            </w14:solidFill>
          </w14:textFill>
        </w:rPr>
        <w:t>每人每次事故赔偿限额：RMB</w:t>
      </w:r>
      <w:r>
        <w:rPr>
          <w:rFonts w:hint="default" w:ascii="Times New Roman" w:hAnsi="Times New Roman" w:eastAsia="仿宋" w:cs="Times New Roman"/>
          <w:color w:val="000000" w:themeColor="text1"/>
          <w:sz w:val="28"/>
          <w:szCs w:val="28"/>
          <w:u w:val="single"/>
          <w14:textFill>
            <w14:solidFill>
              <w14:schemeClr w14:val="tx1"/>
            </w14:solidFill>
          </w14:textFill>
        </w:rPr>
        <w:t>100</w:t>
      </w:r>
      <w:r>
        <w:rPr>
          <w:rFonts w:hint="default" w:ascii="Times New Roman" w:hAnsi="Times New Roman" w:eastAsia="仿宋" w:cs="Times New Roman"/>
          <w:color w:val="000000" w:themeColor="text1"/>
          <w:sz w:val="28"/>
          <w:szCs w:val="28"/>
          <w14:textFill>
            <w14:solidFill>
              <w14:schemeClr w14:val="tx1"/>
            </w14:solidFill>
          </w14:textFill>
        </w:rPr>
        <w:t>万</w:t>
      </w:r>
      <w:r>
        <w:rPr>
          <w:rFonts w:hint="default" w:ascii="Times New Roman" w:hAnsi="Times New Roman" w:eastAsia="仿宋" w:cs="Times New Roman"/>
          <w:color w:val="000000" w:themeColor="text1"/>
          <w:sz w:val="28"/>
          <w:szCs w:val="28"/>
          <w14:textFill>
            <w14:solidFill>
              <w14:schemeClr w14:val="tx1"/>
            </w14:solidFill>
          </w14:textFill>
        </w:rPr>
        <w:t>；自然灾害累计赔偿限额：RMB</w:t>
      </w:r>
      <w:r>
        <w:rPr>
          <w:rFonts w:hint="default" w:ascii="Times New Roman" w:hAnsi="Times New Roman" w:eastAsia="仿宋" w:cs="Times New Roman"/>
          <w:color w:val="000000" w:themeColor="text1"/>
          <w:sz w:val="28"/>
          <w:szCs w:val="28"/>
          <w:u w:val="single"/>
          <w14:textFill>
            <w14:solidFill>
              <w14:schemeClr w14:val="tx1"/>
            </w14:solidFill>
          </w14:textFill>
        </w:rPr>
        <w:t>100</w:t>
      </w:r>
      <w:r>
        <w:rPr>
          <w:rFonts w:hint="default" w:ascii="Times New Roman" w:hAnsi="Times New Roman" w:eastAsia="仿宋" w:cs="Times New Roman"/>
          <w:color w:val="000000" w:themeColor="text1"/>
          <w:sz w:val="28"/>
          <w:szCs w:val="28"/>
          <w14:textFill>
            <w14:solidFill>
              <w14:schemeClr w14:val="tx1"/>
            </w14:solidFill>
          </w14:textFill>
        </w:rPr>
        <w:t>万，每次自然灾害事故赔偿限额：RMB</w:t>
      </w:r>
      <w:r>
        <w:rPr>
          <w:rFonts w:hint="default" w:ascii="Times New Roman" w:hAnsi="Times New Roman" w:eastAsia="仿宋" w:cs="Times New Roman"/>
          <w:color w:val="000000" w:themeColor="text1"/>
          <w:sz w:val="28"/>
          <w:szCs w:val="28"/>
          <w:u w:val="single"/>
          <w14:textFill>
            <w14:solidFill>
              <w14:schemeClr w14:val="tx1"/>
            </w14:solidFill>
          </w14:textFill>
        </w:rPr>
        <w:t>20</w:t>
      </w:r>
      <w:r>
        <w:rPr>
          <w:rFonts w:hint="default" w:ascii="Times New Roman" w:hAnsi="Times New Roman" w:eastAsia="仿宋" w:cs="Times New Roman"/>
          <w:color w:val="000000" w:themeColor="text1"/>
          <w:sz w:val="28"/>
          <w:szCs w:val="28"/>
          <w14:textFill>
            <w14:solidFill>
              <w14:schemeClr w14:val="tx1"/>
            </w14:solidFill>
          </w14:textFill>
        </w:rPr>
        <w:t>万。不设置免赔额。</w:t>
      </w:r>
    </w:p>
    <w:p w14:paraId="1ED81AFD">
      <w:pPr>
        <w:pStyle w:val="23"/>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1.5最高限价：</w:t>
      </w:r>
      <w:r>
        <w:rPr>
          <w:rFonts w:hint="default" w:ascii="Times New Roman" w:hAnsi="Times New Roman" w:eastAsia="仿宋" w:cs="Times New Roman"/>
          <w:color w:val="000000" w:themeColor="text1"/>
          <w:sz w:val="28"/>
          <w:szCs w:val="28"/>
          <w:u w:val="single"/>
          <w14:textFill>
            <w14:solidFill>
              <w14:schemeClr w14:val="tx1"/>
            </w14:solidFill>
          </w14:textFill>
        </w:rPr>
        <w:t>6.0</w:t>
      </w:r>
      <w:r>
        <w:rPr>
          <w:rFonts w:hint="default" w:ascii="Times New Roman" w:hAnsi="Times New Roman" w:eastAsia="仿宋" w:cs="Times New Roman"/>
          <w:color w:val="000000" w:themeColor="text1"/>
          <w:sz w:val="28"/>
          <w:szCs w:val="28"/>
          <w14:textFill>
            <w14:solidFill>
              <w14:schemeClr w14:val="tx1"/>
            </w14:solidFill>
          </w14:textFill>
        </w:rPr>
        <w:t>万元。</w:t>
      </w:r>
    </w:p>
    <w:p w14:paraId="639013F4">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二.比选服务范围</w:t>
      </w:r>
    </w:p>
    <w:p w14:paraId="295A72C0">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2.1服务期限：合同期限为</w:t>
      </w:r>
      <w:r>
        <w:rPr>
          <w:rFonts w:hint="default" w:ascii="Times New Roman" w:hAnsi="Times New Roman" w:eastAsia="仿宋" w:cs="Times New Roman"/>
          <w:color w:val="000000" w:themeColor="text1"/>
          <w:sz w:val="28"/>
          <w:szCs w:val="28"/>
          <w:u w:val="single"/>
          <w14:textFill>
            <w14:solidFill>
              <w14:schemeClr w14:val="tx1"/>
            </w14:solidFill>
          </w14:textFill>
        </w:rPr>
        <w:t>壹年</w:t>
      </w:r>
      <w:r>
        <w:rPr>
          <w:rFonts w:hint="default" w:ascii="Times New Roman" w:hAnsi="Times New Roman" w:eastAsia="仿宋" w:cs="Times New Roman"/>
          <w:color w:val="000000" w:themeColor="text1"/>
          <w:sz w:val="28"/>
          <w:szCs w:val="28"/>
          <w14:textFill>
            <w14:solidFill>
              <w14:schemeClr w14:val="tx1"/>
            </w14:solidFill>
          </w14:textFill>
        </w:rPr>
        <w:t>，具体以合同约定时间为准。</w:t>
      </w:r>
    </w:p>
    <w:p w14:paraId="0DF0F3F0">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2.2特别约定：</w:t>
      </w:r>
      <w:r>
        <w:rPr>
          <w:rFonts w:hint="default" w:ascii="Times New Roman" w:hAnsi="Times New Roman" w:eastAsia="仿宋" w:cs="Times New Roman"/>
          <w:color w:val="000000" w:themeColor="text1"/>
          <w:sz w:val="28"/>
          <w:szCs w:val="28"/>
          <w14:textFill>
            <w14:solidFill>
              <w14:schemeClr w14:val="tx1"/>
            </w14:solidFill>
          </w14:textFill>
        </w:rPr>
        <w:t xml:space="preserve"> </w:t>
      </w:r>
    </w:p>
    <w:p w14:paraId="6FCAFCE6">
      <w:pPr>
        <w:keepNext w:val="0"/>
        <w:keepLines w:val="0"/>
        <w:pageBreakBefore w:val="0"/>
        <w:numPr>
          <w:ilvl w:val="0"/>
          <w:numId w:val="1"/>
        </w:numPr>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 xml:space="preserve">本保险单财产损失每次事故赔偿无免赔额；每次事故每人意外医疗费用按100%赔付。 </w:t>
      </w:r>
    </w:p>
    <w:p w14:paraId="59550508">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w:t>
      </w:r>
      <w:r>
        <w:rPr>
          <w:rFonts w:hint="default" w:ascii="Times New Roman" w:hAnsi="Times New Roman" w:eastAsia="仿宋" w:cs="Times New Roman"/>
          <w:color w:val="000000" w:themeColor="text1"/>
          <w:sz w:val="28"/>
          <w:szCs w:val="28"/>
          <w14:textFill>
            <w14:solidFill>
              <w14:schemeClr w14:val="tx1"/>
            </w14:solidFill>
          </w14:textFill>
        </w:rPr>
        <w:t>本保险单承保范围：</w:t>
      </w:r>
    </w:p>
    <w:p w14:paraId="2DAED8F4">
      <w:pPr>
        <w:pStyle w:val="23"/>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kern w:val="1"/>
          <w:sz w:val="28"/>
          <w:szCs w:val="28"/>
          <w14:textFill>
            <w14:solidFill>
              <w14:schemeClr w14:val="tx1"/>
            </w14:solidFill>
          </w14:textFill>
        </w:rPr>
        <w:t>温江区</w:t>
      </w:r>
      <w:r>
        <w:rPr>
          <w:rFonts w:hint="default" w:ascii="Times New Roman" w:hAnsi="Times New Roman" w:eastAsia="仿宋" w:cs="Times New Roman"/>
          <w:color w:val="000000" w:themeColor="text1"/>
          <w:sz w:val="28"/>
          <w:szCs w:val="28"/>
          <w14:textFill>
            <w14:solidFill>
              <w14:schemeClr w14:val="tx1"/>
            </w14:solidFill>
          </w14:textFill>
        </w:rPr>
        <w:t>区域范围内成都市温江区城市道路桥梁管护中心管护的市政道路、市政桥隧及其附属设施，包括道路、桥梁、隧道、人行天桥、过街隧道、广场设施及相关市政设施、非市政通行公交的道路桥梁等设施，（含现有管护和本保险合同期满前新移交接收的设施</w:t>
      </w:r>
      <w:r>
        <w:rPr>
          <w:rFonts w:hint="default" w:ascii="Times New Roman" w:hAnsi="Times New Roman" w:eastAsia="仿宋" w:cs="Times New Roman"/>
          <w:color w:val="000000" w:themeColor="text1"/>
          <w:sz w:val="28"/>
          <w:szCs w:val="28"/>
          <w14:textFill>
            <w14:solidFill>
              <w14:schemeClr w14:val="tx1"/>
            </w14:solidFill>
          </w14:textFill>
        </w:rPr>
        <w:t>，新移交接收的设施以移交单位与</w:t>
      </w:r>
      <w:r>
        <w:rPr>
          <w:rFonts w:hint="default" w:ascii="Times New Roman" w:hAnsi="Times New Roman" w:eastAsia="仿宋" w:cs="Times New Roman"/>
          <w:color w:val="000000" w:themeColor="text1"/>
          <w:sz w:val="28"/>
          <w:szCs w:val="28"/>
          <w14:textFill>
            <w14:solidFill>
              <w14:schemeClr w14:val="tx1"/>
            </w14:solidFill>
          </w14:textFill>
        </w:rPr>
        <w:t>成都市温江区城市道路桥梁管护中心签定的移交</w:t>
      </w:r>
      <w:r>
        <w:rPr>
          <w:rFonts w:hint="default" w:ascii="Times New Roman" w:hAnsi="Times New Roman" w:eastAsia="仿宋" w:cs="Times New Roman"/>
          <w:color w:val="000000" w:themeColor="text1"/>
          <w:sz w:val="28"/>
          <w:szCs w:val="28"/>
          <w14:textFill>
            <w14:solidFill>
              <w14:schemeClr w14:val="tx1"/>
            </w14:solidFill>
          </w14:textFill>
        </w:rPr>
        <w:t>接收表为准。）</w:t>
      </w:r>
    </w:p>
    <w:p w14:paraId="27C5C256">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w:t>
      </w:r>
      <w:r>
        <w:rPr>
          <w:rFonts w:hint="default" w:ascii="Times New Roman" w:hAnsi="Times New Roman" w:eastAsia="仿宋" w:cs="Times New Roman"/>
          <w:color w:val="000000" w:themeColor="text1"/>
          <w:sz w:val="28"/>
          <w:szCs w:val="28"/>
          <w14:textFill>
            <w14:solidFill>
              <w14:schemeClr w14:val="tx1"/>
            </w14:solidFill>
          </w14:textFill>
        </w:rPr>
        <w:t>被保险人管理维护的</w:t>
      </w:r>
      <w:r>
        <w:rPr>
          <w:rFonts w:hint="default" w:ascii="Times New Roman" w:hAnsi="Times New Roman" w:eastAsia="仿宋" w:cs="Times New Roman"/>
          <w:color w:val="000000" w:themeColor="text1"/>
          <w:sz w:val="28"/>
          <w:szCs w:val="28"/>
          <w14:textFill>
            <w14:solidFill>
              <w14:schemeClr w14:val="tx1"/>
            </w14:solidFill>
          </w14:textFill>
        </w:rPr>
        <w:t>公共区域</w:t>
      </w:r>
      <w:r>
        <w:rPr>
          <w:rFonts w:hint="default" w:ascii="Times New Roman" w:hAnsi="Times New Roman" w:eastAsia="仿宋" w:cs="Times New Roman"/>
          <w:color w:val="000000" w:themeColor="text1"/>
          <w:sz w:val="28"/>
          <w:szCs w:val="28"/>
          <w14:textFill>
            <w14:solidFill>
              <w14:schemeClr w14:val="tx1"/>
            </w14:solidFill>
          </w14:textFill>
        </w:rPr>
        <w:t>发生意外情况，造成第三者人身伤亡或是财产损失，依法应承担的经济赔偿责任</w:t>
      </w:r>
      <w:r>
        <w:rPr>
          <w:rFonts w:hint="default" w:ascii="Times New Roman" w:hAnsi="Times New Roman" w:eastAsia="仿宋" w:cs="Times New Roman"/>
          <w:color w:val="000000" w:themeColor="text1"/>
          <w:sz w:val="28"/>
          <w:szCs w:val="28"/>
          <w14:textFill>
            <w14:solidFill>
              <w14:schemeClr w14:val="tx1"/>
            </w14:solidFill>
          </w14:textFill>
        </w:rPr>
        <w:t>由保险人承担</w:t>
      </w:r>
      <w:r>
        <w:rPr>
          <w:rFonts w:hint="default" w:ascii="Times New Roman" w:hAnsi="Times New Roman" w:eastAsia="仿宋" w:cs="Times New Roman"/>
          <w:color w:val="000000" w:themeColor="text1"/>
          <w:sz w:val="28"/>
          <w:szCs w:val="28"/>
          <w14:textFill>
            <w14:solidFill>
              <w14:schemeClr w14:val="tx1"/>
            </w14:solidFill>
          </w14:textFill>
        </w:rPr>
        <w:t xml:space="preserve">。 </w:t>
      </w:r>
    </w:p>
    <w:p w14:paraId="68BD31D6">
      <w:pPr>
        <w:pStyle w:val="4"/>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（4）</w:t>
      </w:r>
      <w:r>
        <w:rPr>
          <w:rFonts w:hint="default" w:ascii="Times New Roman" w:hAnsi="Times New Roman" w:eastAsia="仿宋" w:cs="Times New Roman"/>
          <w:color w:val="000000" w:themeColor="text1"/>
          <w:sz w:val="28"/>
          <w:szCs w:val="28"/>
          <w14:textFill>
            <w14:solidFill>
              <w14:schemeClr w14:val="tx1"/>
            </w14:solidFill>
          </w14:textFill>
        </w:rPr>
        <w:t>被保险人在维护施工过程中，造成第三者的人身伤亡或财产损失，依法应承担的经济赔偿责任</w:t>
      </w:r>
      <w:r>
        <w:rPr>
          <w:rFonts w:hint="default" w:ascii="Times New Roman" w:hAnsi="Times New Roman" w:eastAsia="仿宋" w:cs="Times New Roman"/>
          <w:color w:val="000000" w:themeColor="text1"/>
          <w:sz w:val="28"/>
          <w:szCs w:val="28"/>
          <w14:textFill>
            <w14:solidFill>
              <w14:schemeClr w14:val="tx1"/>
            </w14:solidFill>
          </w14:textFill>
        </w:rPr>
        <w:t>由保险人承担</w:t>
      </w:r>
      <w:r>
        <w:rPr>
          <w:rFonts w:hint="default" w:ascii="Times New Roman" w:hAnsi="Times New Roman" w:eastAsia="仿宋" w:cs="Times New Roman"/>
          <w:color w:val="000000" w:themeColor="text1"/>
          <w:sz w:val="28"/>
          <w:szCs w:val="28"/>
          <w14:textFill>
            <w14:solidFill>
              <w14:schemeClr w14:val="tx1"/>
            </w14:solidFill>
          </w14:textFill>
        </w:rPr>
        <w:t>。</w:t>
      </w:r>
    </w:p>
    <w:p w14:paraId="3D2DBB5B">
      <w:pPr>
        <w:pStyle w:val="23"/>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（5）投保人不存在未如实告知义务。</w:t>
      </w:r>
    </w:p>
    <w:p w14:paraId="3058C8D1">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三.投标人资格及要求</w:t>
      </w:r>
    </w:p>
    <w:p w14:paraId="591CD603">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3.1 投标人须是</w:t>
      </w:r>
      <w:r>
        <w:rPr>
          <w:rFonts w:hint="default" w:ascii="Times New Roman" w:hAnsi="Times New Roman" w:eastAsia="仿宋" w:cs="Times New Roman"/>
          <w:b w:val="0"/>
          <w:bCs w:val="0"/>
          <w:color w:val="000000" w:themeColor="text1"/>
          <w:sz w:val="28"/>
          <w:szCs w:val="28"/>
          <w14:textFill>
            <w14:solidFill>
              <w14:schemeClr w14:val="tx1"/>
            </w14:solidFill>
          </w14:textFill>
        </w:rPr>
        <w:t>具有中国银行保险监督管理委员会核准颁发的《经营保险业务许可证》（业务范围须涵盖本项目保险服务）</w:t>
      </w:r>
      <w:r>
        <w:rPr>
          <w:rFonts w:hint="default" w:ascii="Times New Roman" w:hAnsi="Times New Roman" w:eastAsia="仿宋" w:cs="Times New Roman"/>
          <w:b w:val="0"/>
          <w:bCs w:val="0"/>
          <w:color w:val="000000" w:themeColor="text1"/>
          <w:sz w:val="28"/>
          <w:szCs w:val="28"/>
          <w14:textFill>
            <w14:solidFill>
              <w14:schemeClr w14:val="tx1"/>
            </w14:solidFill>
          </w14:textFill>
        </w:rPr>
        <w:t xml:space="preserve">，具有与履行本比选项目规定的承保、理赔及其它服务要求的能力。                                                                    </w:t>
      </w:r>
    </w:p>
    <w:p w14:paraId="424B13FF">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3.2 本项目不接受联合体投标。总公司或分支机构属于同一保险集团公司的，不能同时参加本项目比选。</w:t>
      </w:r>
    </w:p>
    <w:p w14:paraId="554AEE7C">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3.3 投标总金额未超过本项目最高投标限价，且为唯一固定投标。</w:t>
      </w:r>
    </w:p>
    <w:p w14:paraId="36ABE483">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四.比选代理服务费交付</w:t>
      </w:r>
    </w:p>
    <w:p w14:paraId="7B6A4AC8">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本次无比选代理服务费。</w:t>
      </w:r>
    </w:p>
    <w:p w14:paraId="37C3C8A7">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 xml:space="preserve">五.比选文件的获取 </w:t>
      </w:r>
    </w:p>
    <w:p w14:paraId="207D4C2E">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5.1凡有意参加投标者，请于2026年7月</w:t>
      </w:r>
      <w:r>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t>20</w:t>
      </w:r>
      <w:r>
        <w:rPr>
          <w:rFonts w:hint="default" w:ascii="Times New Roman" w:hAnsi="Times New Roman" w:eastAsia="仿宋" w:cs="Times New Roman"/>
          <w:b w:val="0"/>
          <w:bCs w:val="0"/>
          <w:color w:val="000000" w:themeColor="text1"/>
          <w:sz w:val="28"/>
          <w:szCs w:val="28"/>
          <w14:textFill>
            <w14:solidFill>
              <w14:schemeClr w14:val="tx1"/>
            </w14:solidFill>
          </w14:textFill>
        </w:rPr>
        <w:t>日至2026年7月</w:t>
      </w:r>
      <w:r>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t>27</w:t>
      </w:r>
      <w:r>
        <w:rPr>
          <w:rFonts w:hint="default" w:ascii="Times New Roman" w:hAnsi="Times New Roman" w:eastAsia="仿宋" w:cs="Times New Roman"/>
          <w:b w:val="0"/>
          <w:bCs w:val="0"/>
          <w:color w:val="000000" w:themeColor="text1"/>
          <w:sz w:val="28"/>
          <w:szCs w:val="28"/>
          <w14:textFill>
            <w14:solidFill>
              <w14:schemeClr w14:val="tx1"/>
            </w14:solidFill>
          </w14:textFill>
        </w:rPr>
        <w:t>日，登录成都市温江区人民政府网站（http://www.wenjiang.gov.cn）公示公告栏下载比选文件。</w:t>
      </w:r>
    </w:p>
    <w:p w14:paraId="01E040C7">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5.2比选公告发布时间</w:t>
      </w:r>
    </w:p>
    <w:p w14:paraId="1321D163">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发布比选公告开始日期（含本日）为：2026年7月</w:t>
      </w:r>
      <w:r>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t>20</w:t>
      </w:r>
      <w:r>
        <w:rPr>
          <w:rFonts w:hint="default" w:ascii="Times New Roman" w:hAnsi="Times New Roman" w:eastAsia="仿宋" w:cs="Times New Roman"/>
          <w:b w:val="0"/>
          <w:bCs w:val="0"/>
          <w:color w:val="000000" w:themeColor="text1"/>
          <w:sz w:val="28"/>
          <w:szCs w:val="28"/>
          <w14:textFill>
            <w14:solidFill>
              <w14:schemeClr w14:val="tx1"/>
            </w14:solidFill>
          </w14:textFill>
        </w:rPr>
        <w:t>日；</w:t>
      </w:r>
    </w:p>
    <w:p w14:paraId="136A7433">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发布比选公告截止日期（含本日）为：2026年7月</w:t>
      </w:r>
      <w:r>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t>27</w:t>
      </w:r>
      <w:r>
        <w:rPr>
          <w:rFonts w:hint="default" w:ascii="Times New Roman" w:hAnsi="Times New Roman" w:eastAsia="仿宋" w:cs="Times New Roman"/>
          <w:b w:val="0"/>
          <w:bCs w:val="0"/>
          <w:color w:val="000000" w:themeColor="text1"/>
          <w:sz w:val="28"/>
          <w:szCs w:val="28"/>
          <w14:textFill>
            <w14:solidFill>
              <w14:schemeClr w14:val="tx1"/>
            </w14:solidFill>
          </w14:textFill>
        </w:rPr>
        <w:t>日</w:t>
      </w:r>
      <w:r>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t>14:30</w:t>
      </w:r>
      <w:r>
        <w:rPr>
          <w:rFonts w:hint="default" w:ascii="Times New Roman" w:hAnsi="Times New Roman" w:eastAsia="仿宋" w:cs="Times New Roman"/>
          <w:b w:val="0"/>
          <w:bCs w:val="0"/>
          <w:color w:val="000000" w:themeColor="text1"/>
          <w:sz w:val="28"/>
          <w:szCs w:val="28"/>
          <w14:textFill>
            <w14:solidFill>
              <w14:schemeClr w14:val="tx1"/>
            </w14:solidFill>
          </w14:textFill>
        </w:rPr>
        <w:t>；</w:t>
      </w:r>
    </w:p>
    <w:p w14:paraId="75F8799A">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六.投标文件的递交时间和递交地点</w:t>
      </w:r>
    </w:p>
    <w:p w14:paraId="585E082C">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由投标意向人法定代表人或授权代表手持法定代表人证明书、授权委托书及身份证原件在2026年7月</w:t>
      </w:r>
      <w:r>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t>27</w:t>
      </w:r>
      <w:r>
        <w:rPr>
          <w:rFonts w:hint="default" w:ascii="Times New Roman" w:hAnsi="Times New Roman" w:eastAsia="仿宋" w:cs="Times New Roman"/>
          <w:b w:val="0"/>
          <w:bCs w:val="0"/>
          <w:color w:val="000000" w:themeColor="text1"/>
          <w:sz w:val="28"/>
          <w:szCs w:val="28"/>
          <w14:textFill>
            <w14:solidFill>
              <w14:schemeClr w14:val="tx1"/>
            </w14:solidFill>
          </w14:textFill>
        </w:rPr>
        <w:t>日</w:t>
      </w:r>
      <w:r>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t>14</w:t>
      </w:r>
      <w:r>
        <w:rPr>
          <w:rFonts w:hint="default" w:ascii="Times New Roman" w:hAnsi="Times New Roman" w:eastAsia="仿宋" w:cs="Times New Roman"/>
          <w:b w:val="0"/>
          <w:bCs w:val="0"/>
          <w:color w:val="000000" w:themeColor="text1"/>
          <w:sz w:val="28"/>
          <w:szCs w:val="28"/>
          <w14:textFill>
            <w14:solidFill>
              <w14:schemeClr w14:val="tx1"/>
            </w14:solidFill>
          </w14:textFill>
        </w:rPr>
        <w:t>：00-</w:t>
      </w:r>
      <w:r>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t>14</w:t>
      </w:r>
      <w:r>
        <w:rPr>
          <w:rFonts w:hint="default" w:ascii="Times New Roman" w:hAnsi="Times New Roman" w:eastAsia="仿宋" w:cs="Times New Roman"/>
          <w:b w:val="0"/>
          <w:bCs w:val="0"/>
          <w:color w:val="000000" w:themeColor="text1"/>
          <w:sz w:val="28"/>
          <w:szCs w:val="28"/>
          <w14:textFill>
            <w14:solidFill>
              <w14:schemeClr w14:val="tx1"/>
            </w14:solidFill>
          </w14:textFill>
        </w:rPr>
        <w:t>：30 递交至成都市温江区城市道路桥梁管护中心（新南路166号）会议室，逾期恕不受理。</w:t>
      </w:r>
    </w:p>
    <w:p w14:paraId="2A6C6A4F">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七.比选人不承担投标人参加本次投标活动所发生的任何费用。比选人因故取消或中止比选活动，投标人无条件服从，因投标活动产生的费用投标人自行负责。</w:t>
      </w:r>
    </w:p>
    <w:p w14:paraId="1C3728E0">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八.比选人将在成都市温江区人民政府网上发布中标结果，中标公示期为3天。</w:t>
      </w:r>
    </w:p>
    <w:p w14:paraId="0B27DA7E">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九.成都市温江区城市道路桥梁管理中心对公告及比选文件有最终解释权。</w:t>
      </w:r>
    </w:p>
    <w:p w14:paraId="12F5C155">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十．联系方式：</w:t>
      </w:r>
    </w:p>
    <w:p w14:paraId="79069E23">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比选单位：成都市温江区城市道路桥梁管</w:t>
      </w:r>
      <w:r>
        <w:rPr>
          <w:rFonts w:hint="default" w:ascii="Times New Roman" w:hAnsi="Times New Roman" w:eastAsia="仿宋" w:cs="Times New Roman"/>
          <w:b w:val="0"/>
          <w:bCs w:val="0"/>
          <w:color w:val="000000" w:themeColor="text1"/>
          <w:sz w:val="28"/>
          <w:szCs w:val="28"/>
          <w:lang w:eastAsia="zh-CN"/>
          <w14:textFill>
            <w14:solidFill>
              <w14:schemeClr w14:val="tx1"/>
            </w14:solidFill>
          </w14:textFill>
        </w:rPr>
        <w:t>护</w:t>
      </w:r>
      <w:r>
        <w:rPr>
          <w:rFonts w:hint="default" w:ascii="Times New Roman" w:hAnsi="Times New Roman" w:eastAsia="仿宋" w:cs="Times New Roman"/>
          <w:b w:val="0"/>
          <w:bCs w:val="0"/>
          <w:color w:val="000000" w:themeColor="text1"/>
          <w:sz w:val="28"/>
          <w:szCs w:val="28"/>
          <w14:textFill>
            <w14:solidFill>
              <w14:schemeClr w14:val="tx1"/>
            </w14:solidFill>
          </w14:textFill>
        </w:rPr>
        <w:t>中心</w:t>
      </w:r>
    </w:p>
    <w:p w14:paraId="0DED90C4">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联系人：</w:t>
      </w:r>
      <w:r>
        <w:rPr>
          <w:rFonts w:hint="default" w:ascii="Times New Roman" w:hAnsi="Times New Roman" w:eastAsia="仿宋" w:cs="Times New Roman"/>
          <w:b w:val="0"/>
          <w:bCs w:val="0"/>
          <w:color w:val="000000" w:themeColor="text1"/>
          <w:sz w:val="28"/>
          <w:szCs w:val="28"/>
          <w:lang w:eastAsia="zh-CN"/>
          <w14:textFill>
            <w14:solidFill>
              <w14:schemeClr w14:val="tx1"/>
            </w14:solidFill>
          </w14:textFill>
        </w:rPr>
        <w:t>李</w:t>
      </w:r>
      <w:r>
        <w:rPr>
          <w:rFonts w:hint="default" w:ascii="Times New Roman" w:hAnsi="Times New Roman" w:eastAsia="仿宋" w:cs="Times New Roman"/>
          <w:b w:val="0"/>
          <w:bCs w:val="0"/>
          <w:color w:val="000000" w:themeColor="text1"/>
          <w:sz w:val="28"/>
          <w:szCs w:val="28"/>
          <w14:textFill>
            <w14:solidFill>
              <w14:schemeClr w14:val="tx1"/>
            </w14:solidFill>
          </w14:textFill>
        </w:rPr>
        <w:t>老师</w:t>
      </w:r>
    </w:p>
    <w:p w14:paraId="6DD75FFB">
      <w:pPr>
        <w:keepNext w:val="0"/>
        <w:keepLines w:val="0"/>
        <w:pageBreakBefore w:val="0"/>
        <w:kinsoku/>
        <w:wordWrap/>
        <w:overflowPunct/>
        <w:topLinePunct w:val="0"/>
        <w:autoSpaceDE/>
        <w:autoSpaceDN/>
        <w:bidi w:val="0"/>
        <w:adjustRightInd w:val="0"/>
        <w:snapToGrid w:val="0"/>
        <w:spacing w:before="100" w:beforeAutospacing="1" w:after="100" w:afterAutospacing="1" w:line="500" w:lineRule="exact"/>
        <w:ind w:firstLine="560" w:firstLineChars="200"/>
        <w:jc w:val="left"/>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仿宋" w:cs="Times New Roman"/>
          <w:b w:val="0"/>
          <w:bCs w:val="0"/>
          <w:color w:val="000000" w:themeColor="text1"/>
          <w:sz w:val="28"/>
          <w:szCs w:val="28"/>
          <w14:textFill>
            <w14:solidFill>
              <w14:schemeClr w14:val="tx1"/>
            </w14:solidFill>
          </w14:textFill>
        </w:rPr>
        <w:t>联系电话：028-8271</w:t>
      </w:r>
      <w:r>
        <w:rPr>
          <w:rFonts w:hint="default" w:ascii="Times New Roman" w:hAnsi="Times New Roman" w:eastAsia="仿宋" w:cs="Times New Roman"/>
          <w:b w:val="0"/>
          <w:bCs w:val="0"/>
          <w:color w:val="000000" w:themeColor="text1"/>
          <w:sz w:val="28"/>
          <w:szCs w:val="28"/>
          <w:lang w:val="en-US" w:eastAsia="zh-CN"/>
          <w14:textFill>
            <w14:solidFill>
              <w14:schemeClr w14:val="tx1"/>
            </w14:solidFill>
          </w14:textFill>
        </w:rPr>
        <w:t>9324</w:t>
      </w:r>
    </w:p>
    <w:p w14:paraId="7A8A0389">
      <w:pPr>
        <w:keepNext w:val="0"/>
        <w:keepLines w:val="0"/>
        <w:pageBreakBefore w:val="0"/>
        <w:kinsoku/>
        <w:wordWrap/>
        <w:overflowPunct/>
        <w:topLinePunct w:val="0"/>
        <w:autoSpaceDE/>
        <w:autoSpaceDN/>
        <w:bidi w:val="0"/>
        <w:spacing w:line="500" w:lineRule="exact"/>
        <w:ind w:firstLine="562" w:firstLineChars="200"/>
        <w:jc w:val="center"/>
        <w:textAlignment w:val="top"/>
        <w:rPr>
          <w:rFonts w:hint="default" w:ascii="Times New Roman" w:hAnsi="Times New Roman" w:eastAsia="仿宋" w:cs="Times New Roman"/>
          <w:b/>
          <w:color w:val="000000" w:themeColor="text1"/>
          <w:kern w:val="1"/>
          <w:sz w:val="28"/>
          <w:szCs w:val="28"/>
          <w:u w:val="single"/>
          <w14:textFill>
            <w14:solidFill>
              <w14:schemeClr w14:val="tx1"/>
            </w14:solidFill>
          </w14:textFill>
        </w:rPr>
      </w:pPr>
    </w:p>
    <w:bookmarkEnd w:id="0"/>
    <w:p w14:paraId="52179940">
      <w:pPr>
        <w:pStyle w:val="7"/>
        <w:keepNext w:val="0"/>
        <w:keepLines w:val="0"/>
        <w:pageBreakBefore w:val="0"/>
        <w:kinsoku/>
        <w:wordWrap/>
        <w:overflowPunct/>
        <w:topLinePunct w:val="0"/>
        <w:autoSpaceDE/>
        <w:autoSpaceDN/>
        <w:bidi w:val="0"/>
        <w:spacing w:line="500" w:lineRule="exact"/>
        <w:jc w:val="center"/>
        <w:rPr>
          <w:rFonts w:hint="default" w:ascii="Times New Roman" w:hAnsi="Times New Roman" w:eastAsia="仿宋" w:cs="Times New Roman"/>
          <w:b/>
          <w:color w:val="000000" w:themeColor="text1"/>
          <w:sz w:val="28"/>
          <w:szCs w:val="28"/>
          <w14:textFill>
            <w14:solidFill>
              <w14:schemeClr w14:val="tx1"/>
            </w14:solidFill>
          </w14:textFill>
        </w:rPr>
      </w:pPr>
    </w:p>
    <w:p w14:paraId="52FFC1A8">
      <w:pPr>
        <w:keepNext w:val="0"/>
        <w:keepLines w:val="0"/>
        <w:pageBreakBefore w:val="0"/>
        <w:kinsoku/>
        <w:wordWrap/>
        <w:overflowPunct/>
        <w:topLinePunct w:val="0"/>
        <w:autoSpaceDE/>
        <w:autoSpaceDN/>
        <w:bidi w:val="0"/>
        <w:spacing w:line="500" w:lineRule="exact"/>
        <w:rPr>
          <w:rFonts w:hint="default" w:ascii="Times New Roman" w:hAnsi="Times New Roman" w:eastAsia="仿宋" w:cs="Times New Roman"/>
          <w:b/>
          <w:color w:val="000000" w:themeColor="text1"/>
          <w:sz w:val="28"/>
          <w:szCs w:val="28"/>
          <w14:textFill>
            <w14:solidFill>
              <w14:schemeClr w14:val="tx1"/>
            </w14:solidFill>
          </w14:textFill>
        </w:rPr>
      </w:pPr>
    </w:p>
    <w:p w14:paraId="543231B6">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0C0ED24B">
      <w:pPr>
        <w:rPr>
          <w:rFonts w:hint="default" w:ascii="Times New Roman" w:hAnsi="Times New Roman" w:eastAsia="仿宋" w:cs="Times New Roman"/>
          <w:b/>
          <w:color w:val="000000" w:themeColor="text1"/>
          <w:sz w:val="28"/>
          <w:szCs w:val="28"/>
          <w14:textFill>
            <w14:solidFill>
              <w14:schemeClr w14:val="tx1"/>
            </w14:solidFill>
          </w14:textFill>
        </w:rPr>
      </w:pPr>
    </w:p>
    <w:p w14:paraId="43C99E16">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4EFD784B">
      <w:pPr>
        <w:rPr>
          <w:rFonts w:hint="default" w:ascii="Times New Roman" w:hAnsi="Times New Roman" w:eastAsia="仿宋" w:cs="Times New Roman"/>
          <w:b/>
          <w:color w:val="000000" w:themeColor="text1"/>
          <w:sz w:val="28"/>
          <w:szCs w:val="28"/>
          <w14:textFill>
            <w14:solidFill>
              <w14:schemeClr w14:val="tx1"/>
            </w14:solidFill>
          </w14:textFill>
        </w:rPr>
      </w:pPr>
    </w:p>
    <w:p w14:paraId="7AA12869">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67E1A55B">
      <w:pPr>
        <w:rPr>
          <w:rFonts w:hint="default" w:ascii="Times New Roman" w:hAnsi="Times New Roman" w:eastAsia="仿宋" w:cs="Times New Roman"/>
          <w:b/>
          <w:color w:val="000000" w:themeColor="text1"/>
          <w:sz w:val="28"/>
          <w:szCs w:val="28"/>
          <w14:textFill>
            <w14:solidFill>
              <w14:schemeClr w14:val="tx1"/>
            </w14:solidFill>
          </w14:textFill>
        </w:rPr>
      </w:pPr>
    </w:p>
    <w:p w14:paraId="759139FB">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4FEE6B1A">
      <w:pPr>
        <w:rPr>
          <w:rFonts w:hint="default" w:ascii="Times New Roman" w:hAnsi="Times New Roman" w:eastAsia="仿宋" w:cs="Times New Roman"/>
          <w:b/>
          <w:color w:val="000000" w:themeColor="text1"/>
          <w:sz w:val="28"/>
          <w:szCs w:val="28"/>
          <w14:textFill>
            <w14:solidFill>
              <w14:schemeClr w14:val="tx1"/>
            </w14:solidFill>
          </w14:textFill>
        </w:rPr>
      </w:pPr>
    </w:p>
    <w:p w14:paraId="2EA05B28">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5595D2DC">
      <w:pPr>
        <w:rPr>
          <w:rFonts w:hint="default" w:ascii="Times New Roman" w:hAnsi="Times New Roman" w:eastAsia="仿宋" w:cs="Times New Roman"/>
          <w:b/>
          <w:color w:val="000000" w:themeColor="text1"/>
          <w:sz w:val="28"/>
          <w:szCs w:val="28"/>
          <w14:textFill>
            <w14:solidFill>
              <w14:schemeClr w14:val="tx1"/>
            </w14:solidFill>
          </w14:textFill>
        </w:rPr>
      </w:pPr>
    </w:p>
    <w:p w14:paraId="51AE9D29">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51F0D9A5">
      <w:pPr>
        <w:rPr>
          <w:rFonts w:hint="default" w:ascii="Times New Roman" w:hAnsi="Times New Roman" w:eastAsia="仿宋" w:cs="Times New Roman"/>
          <w:b/>
          <w:color w:val="000000" w:themeColor="text1"/>
          <w:sz w:val="28"/>
          <w:szCs w:val="28"/>
          <w14:textFill>
            <w14:solidFill>
              <w14:schemeClr w14:val="tx1"/>
            </w14:solidFill>
          </w14:textFill>
        </w:rPr>
      </w:pPr>
    </w:p>
    <w:p w14:paraId="4D38ED2D">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2C513E9A">
      <w:pPr>
        <w:rPr>
          <w:rFonts w:hint="default" w:ascii="Times New Roman" w:hAnsi="Times New Roman" w:eastAsia="仿宋" w:cs="Times New Roman"/>
          <w:b/>
          <w:color w:val="000000" w:themeColor="text1"/>
          <w:sz w:val="28"/>
          <w:szCs w:val="28"/>
          <w14:textFill>
            <w14:solidFill>
              <w14:schemeClr w14:val="tx1"/>
            </w14:solidFill>
          </w14:textFill>
        </w:rPr>
      </w:pPr>
    </w:p>
    <w:p w14:paraId="673DD779">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246BBCBA">
      <w:pPr>
        <w:rPr>
          <w:rFonts w:hint="default" w:ascii="Times New Roman" w:hAnsi="Times New Roman" w:eastAsia="仿宋" w:cs="Times New Roman"/>
          <w:b/>
          <w:color w:val="000000" w:themeColor="text1"/>
          <w:sz w:val="28"/>
          <w:szCs w:val="28"/>
          <w14:textFill>
            <w14:solidFill>
              <w14:schemeClr w14:val="tx1"/>
            </w14:solidFill>
          </w14:textFill>
        </w:rPr>
      </w:pPr>
    </w:p>
    <w:p w14:paraId="37FBE99F">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7F2DA747">
      <w:pPr>
        <w:rPr>
          <w:rFonts w:hint="default" w:ascii="Times New Roman" w:hAnsi="Times New Roman" w:eastAsia="仿宋" w:cs="Times New Roman"/>
          <w:b/>
          <w:color w:val="000000" w:themeColor="text1"/>
          <w:sz w:val="28"/>
          <w:szCs w:val="28"/>
          <w14:textFill>
            <w14:solidFill>
              <w14:schemeClr w14:val="tx1"/>
            </w14:solidFill>
          </w14:textFill>
        </w:rPr>
      </w:pPr>
    </w:p>
    <w:p w14:paraId="47A542AC">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732B404A">
      <w:pPr>
        <w:rPr>
          <w:rFonts w:hint="default" w:ascii="Times New Roman" w:hAnsi="Times New Roman" w:eastAsia="仿宋" w:cs="Times New Roman"/>
          <w:b/>
          <w:color w:val="000000" w:themeColor="text1"/>
          <w:sz w:val="28"/>
          <w:szCs w:val="28"/>
          <w14:textFill>
            <w14:solidFill>
              <w14:schemeClr w14:val="tx1"/>
            </w14:solidFill>
          </w14:textFill>
        </w:rPr>
      </w:pPr>
    </w:p>
    <w:p w14:paraId="0E26EFCA">
      <w:pPr>
        <w:pStyle w:val="2"/>
        <w:rPr>
          <w:rFonts w:hint="default" w:ascii="Times New Roman" w:hAnsi="Times New Roman" w:eastAsia="仿宋" w:cs="Times New Roman"/>
          <w:b/>
          <w:color w:val="000000" w:themeColor="text1"/>
          <w:sz w:val="28"/>
          <w:szCs w:val="28"/>
          <w14:textFill>
            <w14:solidFill>
              <w14:schemeClr w14:val="tx1"/>
            </w14:solidFill>
          </w14:textFill>
        </w:rPr>
      </w:pPr>
    </w:p>
    <w:p w14:paraId="3DCF4E87">
      <w:pPr>
        <w:rPr>
          <w:rFonts w:hint="default" w:ascii="Times New Roman" w:hAnsi="Times New Roman" w:eastAsia="仿宋" w:cs="Times New Roman"/>
          <w:b/>
          <w:color w:val="000000" w:themeColor="text1"/>
          <w:sz w:val="28"/>
          <w:szCs w:val="28"/>
          <w14:textFill>
            <w14:solidFill>
              <w14:schemeClr w14:val="tx1"/>
            </w14:solidFill>
          </w14:textFill>
        </w:rPr>
      </w:pPr>
    </w:p>
    <w:p w14:paraId="6C0E4C08">
      <w:pPr>
        <w:pStyle w:val="2"/>
        <w:rPr>
          <w:rFonts w:hint="default"/>
        </w:rPr>
      </w:pPr>
    </w:p>
    <w:p w14:paraId="3DF7CDFF">
      <w:pPr>
        <w:pStyle w:val="2"/>
        <w:keepNext w:val="0"/>
        <w:keepLines w:val="0"/>
        <w:pageBreakBefore w:val="0"/>
        <w:kinsoku/>
        <w:wordWrap/>
        <w:overflowPunct/>
        <w:topLinePunct w:val="0"/>
        <w:autoSpaceDE/>
        <w:autoSpaceDN/>
        <w:bidi w:val="0"/>
        <w:spacing w:line="500" w:lineRule="exact"/>
        <w:rPr>
          <w:rFonts w:hint="default" w:ascii="Times New Roman" w:hAnsi="Times New Roman" w:cs="Times New Roman"/>
        </w:rPr>
      </w:pPr>
    </w:p>
    <w:p w14:paraId="472E9184">
      <w:pPr>
        <w:pStyle w:val="7"/>
        <w:keepNext w:val="0"/>
        <w:keepLines w:val="0"/>
        <w:pageBreakBefore w:val="0"/>
        <w:kinsoku/>
        <w:wordWrap/>
        <w:overflowPunct/>
        <w:topLinePunct w:val="0"/>
        <w:autoSpaceDE/>
        <w:autoSpaceDN/>
        <w:bidi w:val="0"/>
        <w:spacing w:line="500" w:lineRule="exact"/>
        <w:jc w:val="center"/>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第二章 评审办法及评分标准</w:t>
      </w:r>
    </w:p>
    <w:p w14:paraId="60914B1E">
      <w:pPr>
        <w:pStyle w:val="7"/>
        <w:keepNext w:val="0"/>
        <w:keepLines w:val="0"/>
        <w:pageBreakBefore w:val="0"/>
        <w:kinsoku/>
        <w:wordWrap/>
        <w:overflowPunct/>
        <w:topLinePunct w:val="0"/>
        <w:autoSpaceDE/>
        <w:autoSpaceDN/>
        <w:bidi w:val="0"/>
        <w:spacing w:line="500" w:lineRule="exact"/>
        <w:jc w:val="left"/>
        <w:rPr>
          <w:rFonts w:hint="default" w:ascii="Times New Roman" w:hAnsi="Times New Roman" w:eastAsia="仿宋" w:cs="Times New Roman"/>
          <w:bCs/>
          <w:color w:val="000000" w:themeColor="text1"/>
          <w:sz w:val="28"/>
          <w:szCs w:val="28"/>
          <w14:textFill>
            <w14:solidFill>
              <w14:schemeClr w14:val="tx1"/>
            </w14:solidFill>
          </w14:textFill>
        </w:rPr>
      </w:pPr>
    </w:p>
    <w:p w14:paraId="40FBB9C1">
      <w:pPr>
        <w:pStyle w:val="7"/>
        <w:keepNext w:val="0"/>
        <w:keepLines w:val="0"/>
        <w:pageBreakBefore w:val="0"/>
        <w:kinsoku/>
        <w:wordWrap/>
        <w:overflowPunct/>
        <w:topLinePunct w:val="0"/>
        <w:autoSpaceDE/>
        <w:autoSpaceDN/>
        <w:bidi w:val="0"/>
        <w:spacing w:line="500" w:lineRule="exact"/>
        <w:jc w:val="left"/>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一．评选办法</w:t>
      </w:r>
    </w:p>
    <w:p w14:paraId="1412049F">
      <w:pPr>
        <w:keepNext w:val="0"/>
        <w:keepLines w:val="0"/>
        <w:pageBreakBefore w:val="0"/>
        <w:kinsoku/>
        <w:wordWrap/>
        <w:overflowPunct/>
        <w:topLinePunct w:val="0"/>
        <w:autoSpaceDE/>
        <w:autoSpaceDN/>
        <w:bidi w:val="0"/>
        <w:spacing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1.本次评审采用</w:t>
      </w:r>
      <w:r>
        <w:rPr>
          <w:rFonts w:hint="default" w:ascii="Times New Roman" w:hAnsi="Times New Roman" w:eastAsia="仿宋" w:cs="Times New Roman"/>
          <w:b/>
          <w:bCs/>
          <w:color w:val="000000" w:themeColor="text1"/>
          <w:sz w:val="28"/>
          <w:szCs w:val="28"/>
          <w:u w:val="single"/>
          <w14:textFill>
            <w14:solidFill>
              <w14:schemeClr w14:val="tx1"/>
            </w14:solidFill>
          </w14:textFill>
        </w:rPr>
        <w:t>最低价中标评选法</w:t>
      </w:r>
      <w:r>
        <w:rPr>
          <w:rFonts w:hint="default" w:ascii="Times New Roman" w:hAnsi="Times New Roman" w:eastAsia="仿宋" w:cs="Times New Roman"/>
          <w:color w:val="000000" w:themeColor="text1"/>
          <w:sz w:val="28"/>
          <w:szCs w:val="28"/>
          <w14:textFill>
            <w14:solidFill>
              <w14:schemeClr w14:val="tx1"/>
            </w14:solidFill>
          </w14:textFill>
        </w:rPr>
        <w:t>。比选人首先审查投标单位的资格性和符合性条件，通过资格性和符合性审查的投标单位的投标文件将进入下一环节的评审</w:t>
      </w:r>
      <w:r>
        <w:rPr>
          <w:rFonts w:hint="default" w:ascii="Times New Roman" w:hAnsi="Times New Roman" w:eastAsia="仿宋" w:cs="Times New Roman"/>
          <w:color w:val="000000" w:themeColor="text1"/>
          <w:kern w:val="0"/>
          <w:sz w:val="28"/>
          <w:szCs w:val="28"/>
          <w14:textFill>
            <w14:solidFill>
              <w14:schemeClr w14:val="tx1"/>
            </w14:solidFill>
          </w14:textFill>
        </w:rPr>
        <w:t>（详见附件一：</w:t>
      </w:r>
      <w:r>
        <w:rPr>
          <w:rFonts w:hint="default" w:ascii="Times New Roman" w:hAnsi="Times New Roman" w:eastAsia="仿宋" w:cs="Times New Roman"/>
          <w:color w:val="000000" w:themeColor="text1"/>
          <w:sz w:val="28"/>
          <w:szCs w:val="28"/>
          <w14:textFill>
            <w14:solidFill>
              <w14:schemeClr w14:val="tx1"/>
            </w14:solidFill>
          </w14:textFill>
        </w:rPr>
        <w:t>资格性和符合性审查表</w:t>
      </w:r>
      <w:r>
        <w:rPr>
          <w:rFonts w:hint="default" w:ascii="Times New Roman" w:hAnsi="Times New Roman" w:eastAsia="仿宋" w:cs="Times New Roman"/>
          <w:color w:val="000000" w:themeColor="text1"/>
          <w:kern w:val="0"/>
          <w:sz w:val="28"/>
          <w:szCs w:val="28"/>
          <w14:textFill>
            <w14:solidFill>
              <w14:schemeClr w14:val="tx1"/>
            </w14:solidFill>
          </w14:textFill>
        </w:rPr>
        <w:t>）</w:t>
      </w:r>
      <w:r>
        <w:rPr>
          <w:rFonts w:hint="default" w:ascii="Times New Roman" w:hAnsi="Times New Roman" w:eastAsia="仿宋" w:cs="Times New Roman"/>
          <w:color w:val="000000" w:themeColor="text1"/>
          <w:sz w:val="28"/>
          <w:szCs w:val="28"/>
          <w14:textFill>
            <w14:solidFill>
              <w14:schemeClr w14:val="tx1"/>
            </w14:solidFill>
          </w14:textFill>
        </w:rPr>
        <w:t>。</w:t>
      </w:r>
    </w:p>
    <w:p w14:paraId="124803A2">
      <w:pPr>
        <w:pStyle w:val="7"/>
        <w:keepNext w:val="0"/>
        <w:keepLines w:val="0"/>
        <w:pageBreakBefore w:val="0"/>
        <w:kinsoku/>
        <w:wordWrap/>
        <w:overflowPunct/>
        <w:topLinePunct w:val="0"/>
        <w:autoSpaceDE/>
        <w:autoSpaceDN/>
        <w:bidi w:val="0"/>
        <w:spacing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2.比选人对满足比选文件实质性要求的投标文件，按照比选文件规定的评定标准</w:t>
      </w:r>
      <w:r>
        <w:rPr>
          <w:rFonts w:hint="default" w:ascii="Times New Roman" w:hAnsi="Times New Roman" w:eastAsia="仿宋" w:cs="Times New Roman"/>
          <w:bCs/>
          <w:color w:val="000000" w:themeColor="text1"/>
          <w:sz w:val="28"/>
          <w:szCs w:val="28"/>
          <w14:textFill>
            <w14:solidFill>
              <w14:schemeClr w14:val="tx1"/>
            </w14:solidFill>
          </w14:textFill>
        </w:rPr>
        <w:t>及</w:t>
      </w:r>
      <w:r>
        <w:rPr>
          <w:rFonts w:hint="default" w:ascii="Times New Roman" w:hAnsi="Times New Roman" w:eastAsia="仿宋" w:cs="Times New Roman"/>
          <w:color w:val="000000" w:themeColor="text1"/>
          <w:sz w:val="28"/>
          <w:szCs w:val="28"/>
          <w14:textFill>
            <w14:solidFill>
              <w14:schemeClr w14:val="tx1"/>
            </w14:solidFill>
          </w14:textFill>
        </w:rPr>
        <w:t>评分标准</w:t>
      </w:r>
      <w:r>
        <w:rPr>
          <w:rFonts w:hint="default" w:ascii="Times New Roman" w:hAnsi="Times New Roman" w:eastAsia="仿宋" w:cs="Times New Roman"/>
          <w:color w:val="000000" w:themeColor="text1"/>
          <w:sz w:val="28"/>
          <w:szCs w:val="28"/>
          <w14:textFill>
            <w14:solidFill>
              <w14:schemeClr w14:val="tx1"/>
            </w14:solidFill>
          </w14:textFill>
        </w:rPr>
        <w:t>进行评审，评审过程中如发现存在不满足比选文件实质性要求的投标文件不予评审。</w:t>
      </w:r>
    </w:p>
    <w:p w14:paraId="6FC01658">
      <w:pPr>
        <w:pStyle w:val="7"/>
        <w:keepNext w:val="0"/>
        <w:keepLines w:val="0"/>
        <w:pageBreakBefore w:val="0"/>
        <w:kinsoku/>
        <w:wordWrap/>
        <w:overflowPunct/>
        <w:topLinePunct w:val="0"/>
        <w:autoSpaceDE/>
        <w:autoSpaceDN/>
        <w:bidi w:val="0"/>
        <w:spacing w:line="50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3.通过资格性和符合性审查且</w:t>
      </w:r>
      <w:r>
        <w:rPr>
          <w:rFonts w:hint="default" w:ascii="Times New Roman" w:hAnsi="Times New Roman" w:eastAsia="仿宋" w:cs="Times New Roman"/>
          <w:color w:val="000000" w:themeColor="text1"/>
          <w:sz w:val="28"/>
          <w:szCs w:val="28"/>
          <w:lang w:eastAsia="zh-CN"/>
          <w14:textFill>
            <w14:solidFill>
              <w14:schemeClr w14:val="tx1"/>
            </w14:solidFill>
          </w14:textFill>
        </w:rPr>
        <w:t>报价最低</w:t>
      </w:r>
      <w:r>
        <w:rPr>
          <w:rFonts w:hint="default" w:ascii="Times New Roman" w:hAnsi="Times New Roman" w:eastAsia="仿宋" w:cs="Times New Roman"/>
          <w:color w:val="000000" w:themeColor="text1"/>
          <w:sz w:val="28"/>
          <w:szCs w:val="28"/>
          <w14:textFill>
            <w14:solidFill>
              <w14:schemeClr w14:val="tx1"/>
            </w14:solidFill>
          </w14:textFill>
        </w:rPr>
        <w:t>的单位作为本次比选的中标单位。</w:t>
      </w:r>
    </w:p>
    <w:p w14:paraId="37262C86">
      <w:pPr>
        <w:keepNext w:val="0"/>
        <w:keepLines w:val="0"/>
        <w:pageBreakBefore w:val="0"/>
        <w:tabs>
          <w:tab w:val="left" w:pos="5220"/>
        </w:tabs>
        <w:kinsoku/>
        <w:wordWrap/>
        <w:overflowPunct/>
        <w:topLinePunct w:val="0"/>
        <w:autoSpaceDE/>
        <w:autoSpaceDN/>
        <w:bidi w:val="0"/>
        <w:adjustRightInd w:val="0"/>
        <w:snapToGrid w:val="0"/>
        <w:spacing w:line="500" w:lineRule="exact"/>
        <w:ind w:firstLine="560" w:firstLineChars="200"/>
        <w:jc w:val="left"/>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4.</w:t>
      </w:r>
      <w:r>
        <w:rPr>
          <w:rFonts w:hint="default" w:ascii="Times New Roman" w:hAnsi="Times New Roman" w:eastAsia="仿宋" w:cs="Times New Roman"/>
          <w:color w:val="000000" w:themeColor="text1"/>
          <w:kern w:val="0"/>
          <w:sz w:val="28"/>
          <w:szCs w:val="28"/>
          <w14:textFill>
            <w14:solidFill>
              <w14:schemeClr w14:val="tx1"/>
            </w14:solidFill>
          </w14:textFill>
        </w:rPr>
        <w:t>若本项目满足</w:t>
      </w:r>
      <w:r>
        <w:rPr>
          <w:rFonts w:hint="default" w:ascii="Times New Roman" w:hAnsi="Times New Roman" w:eastAsia="仿宋" w:cs="Times New Roman"/>
          <w:color w:val="000000" w:themeColor="text1"/>
          <w:sz w:val="28"/>
          <w:szCs w:val="28"/>
          <w14:textFill>
            <w14:solidFill>
              <w14:schemeClr w14:val="tx1"/>
            </w14:solidFill>
          </w14:textFill>
        </w:rPr>
        <w:t>资格性和符合性审查</w:t>
      </w:r>
      <w:r>
        <w:rPr>
          <w:rFonts w:hint="default" w:ascii="Times New Roman" w:hAnsi="Times New Roman" w:eastAsia="仿宋" w:cs="Times New Roman"/>
          <w:color w:val="000000" w:themeColor="text1"/>
          <w:kern w:val="0"/>
          <w:sz w:val="28"/>
          <w:szCs w:val="28"/>
          <w14:textFill>
            <w14:solidFill>
              <w14:schemeClr w14:val="tx1"/>
            </w14:solidFill>
          </w14:textFill>
        </w:rPr>
        <w:t>合格条件的投标人不足1家或经评审有效的投标人不足1家，则本次比选失败，比选人将视情况重新组织比选。</w:t>
      </w:r>
    </w:p>
    <w:p w14:paraId="01FA07E5">
      <w:pPr>
        <w:pStyle w:val="7"/>
        <w:keepNext w:val="0"/>
        <w:keepLines w:val="0"/>
        <w:pageBreakBefore w:val="0"/>
        <w:kinsoku/>
        <w:wordWrap/>
        <w:overflowPunct/>
        <w:topLinePunct w:val="0"/>
        <w:autoSpaceDE/>
        <w:autoSpaceDN/>
        <w:bidi w:val="0"/>
        <w:snapToGrid w:val="0"/>
        <w:spacing w:line="500" w:lineRule="exact"/>
        <w:jc w:val="left"/>
        <w:outlineLvl w:val="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二、评分标准</w:t>
      </w:r>
    </w:p>
    <w:p w14:paraId="700D82B4">
      <w:pPr>
        <w:keepNext w:val="0"/>
        <w:keepLines w:val="0"/>
        <w:pageBreakBefore w:val="0"/>
        <w:kinsoku/>
        <w:wordWrap/>
        <w:overflowPunct/>
        <w:topLinePunct w:val="0"/>
        <w:autoSpaceDE/>
        <w:autoSpaceDN/>
        <w:bidi w:val="0"/>
        <w:spacing w:line="50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为公正、公平、科学地选择中标人，根据《中华人民共和国政府采购法》等有关法律法规的规定，并结合本项目的实际，制定本办法。</w:t>
      </w:r>
    </w:p>
    <w:p w14:paraId="515C1B2B">
      <w:pPr>
        <w:keepNext w:val="0"/>
        <w:keepLines w:val="0"/>
        <w:pageBreakBefore w:val="0"/>
        <w:kinsoku/>
        <w:wordWrap/>
        <w:overflowPunct/>
        <w:topLinePunct w:val="0"/>
        <w:autoSpaceDE/>
        <w:autoSpaceDN/>
        <w:bidi w:val="0"/>
        <w:snapToGrid w:val="0"/>
        <w:spacing w:line="500" w:lineRule="exact"/>
        <w:ind w:firstLine="560" w:firstLineChars="200"/>
        <w:jc w:val="left"/>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本办法仅适用于</w:t>
      </w:r>
      <w:r>
        <w:rPr>
          <w:rFonts w:hint="default" w:ascii="Times New Roman" w:hAnsi="Times New Roman" w:eastAsia="仿宋" w:cs="Times New Roman"/>
          <w:b/>
          <w:bCs/>
          <w:color w:val="000000" w:themeColor="text1"/>
          <w:sz w:val="28"/>
          <w:szCs w:val="28"/>
          <w:u w:val="single"/>
          <w14:textFill>
            <w14:solidFill>
              <w14:schemeClr w14:val="tx1"/>
            </w14:solidFill>
          </w14:textFill>
        </w:rPr>
        <w:t>成都市温江区城市道路桥梁管护中心2026-2027年度公众责任险服务</w:t>
      </w:r>
      <w:r>
        <w:rPr>
          <w:rFonts w:hint="default" w:ascii="Times New Roman" w:hAnsi="Times New Roman" w:eastAsia="仿宋" w:cs="Times New Roman"/>
          <w:color w:val="000000" w:themeColor="text1"/>
          <w:sz w:val="28"/>
          <w:szCs w:val="28"/>
          <w14:textFill>
            <w14:solidFill>
              <w14:schemeClr w14:val="tx1"/>
            </w14:solidFill>
          </w14:textFill>
        </w:rPr>
        <w:t>比选</w:t>
      </w:r>
      <w:r>
        <w:rPr>
          <w:rFonts w:hint="default" w:ascii="Times New Roman" w:hAnsi="Times New Roman" w:eastAsia="仿宋" w:cs="Times New Roman"/>
          <w:bCs/>
          <w:color w:val="000000" w:themeColor="text1"/>
          <w:sz w:val="28"/>
          <w:szCs w:val="28"/>
          <w14:textFill>
            <w14:solidFill>
              <w14:schemeClr w14:val="tx1"/>
            </w14:solidFill>
          </w14:textFill>
        </w:rPr>
        <w:t>评标。</w:t>
      </w:r>
    </w:p>
    <w:p w14:paraId="558B210E">
      <w:pPr>
        <w:keepNext w:val="0"/>
        <w:keepLines w:val="0"/>
        <w:pageBreakBefore w:val="0"/>
        <w:kinsoku/>
        <w:wordWrap/>
        <w:overflowPunct/>
        <w:topLinePunct w:val="0"/>
        <w:autoSpaceDE/>
        <w:autoSpaceDN/>
        <w:bidi w:val="0"/>
        <w:snapToGrid w:val="0"/>
        <w:spacing w:line="500" w:lineRule="exact"/>
        <w:ind w:firstLine="562" w:firstLineChars="200"/>
        <w:jc w:val="left"/>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lang w:eastAsia="zh-CN"/>
          <w14:textFill>
            <w14:solidFill>
              <w14:schemeClr w14:val="tx1"/>
            </w14:solidFill>
          </w14:textFill>
        </w:rPr>
        <w:t>（一）</w:t>
      </w:r>
      <w:r>
        <w:rPr>
          <w:rFonts w:hint="default" w:ascii="Times New Roman" w:hAnsi="Times New Roman" w:eastAsia="仿宋" w:cs="Times New Roman"/>
          <w:b/>
          <w:color w:val="000000" w:themeColor="text1"/>
          <w:sz w:val="28"/>
          <w:szCs w:val="28"/>
          <w14:textFill>
            <w14:solidFill>
              <w14:schemeClr w14:val="tx1"/>
            </w14:solidFill>
          </w14:textFill>
        </w:rPr>
        <w:t>总则</w:t>
      </w:r>
    </w:p>
    <w:p w14:paraId="557FE728">
      <w:pPr>
        <w:keepNext w:val="0"/>
        <w:keepLines w:val="0"/>
        <w:pageBreakBefore w:val="0"/>
        <w:kinsoku/>
        <w:wordWrap/>
        <w:overflowPunct/>
        <w:topLinePunct w:val="0"/>
        <w:autoSpaceDE/>
        <w:autoSpaceDN/>
        <w:bidi w:val="0"/>
        <w:spacing w:line="50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本次评标采用最低价中标评选法，报价相同的由我中心决定成交人。</w:t>
      </w:r>
    </w:p>
    <w:p w14:paraId="26D3D7E7">
      <w:pPr>
        <w:keepNext w:val="0"/>
        <w:keepLines w:val="0"/>
        <w:pageBreakBefore w:val="0"/>
        <w:kinsoku/>
        <w:wordWrap/>
        <w:overflowPunct/>
        <w:topLinePunct w:val="0"/>
        <w:autoSpaceDE/>
        <w:autoSpaceDN/>
        <w:bidi w:val="0"/>
        <w:spacing w:line="500" w:lineRule="exact"/>
        <w:ind w:firstLine="562" w:firstLineChars="200"/>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lang w:eastAsia="zh-CN"/>
          <w14:textFill>
            <w14:solidFill>
              <w14:schemeClr w14:val="tx1"/>
            </w14:solidFill>
          </w14:textFill>
        </w:rPr>
        <w:t>（二）</w:t>
      </w:r>
      <w:r>
        <w:rPr>
          <w:rFonts w:hint="default" w:ascii="Times New Roman" w:hAnsi="Times New Roman" w:eastAsia="仿宋" w:cs="Times New Roman"/>
          <w:b/>
          <w:color w:val="000000" w:themeColor="text1"/>
          <w:sz w:val="28"/>
          <w:szCs w:val="28"/>
          <w14:textFill>
            <w14:solidFill>
              <w14:schemeClr w14:val="tx1"/>
            </w14:solidFill>
          </w14:textFill>
        </w:rPr>
        <w:t>评标内容及标准</w:t>
      </w:r>
    </w:p>
    <w:p w14:paraId="280E81C0">
      <w:pPr>
        <w:keepNext w:val="0"/>
        <w:keepLines w:val="0"/>
        <w:pageBreakBefore w:val="0"/>
        <w:kinsoku/>
        <w:wordWrap/>
        <w:overflowPunct/>
        <w:topLinePunct w:val="0"/>
        <w:autoSpaceDE/>
        <w:autoSpaceDN/>
        <w:bidi w:val="0"/>
        <w:spacing w:line="500" w:lineRule="exact"/>
        <w:ind w:firstLine="562" w:firstLineChars="200"/>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000000" w:themeColor="text1"/>
          <w:sz w:val="28"/>
          <w:szCs w:val="28"/>
          <w14:textFill>
            <w14:solidFill>
              <w14:schemeClr w14:val="tx1"/>
            </w14:solidFill>
          </w14:textFill>
        </w:rPr>
        <w:t>1</w:t>
      </w:r>
      <w:r>
        <w:rPr>
          <w:rFonts w:hint="default" w:ascii="Times New Roman" w:hAnsi="Times New Roman" w:eastAsia="仿宋" w:cs="Times New Roman"/>
          <w:b/>
          <w:bCs/>
          <w:color w:val="auto"/>
          <w:sz w:val="28"/>
          <w:szCs w:val="28"/>
        </w:rPr>
        <w:t>、资格性审查</w:t>
      </w:r>
    </w:p>
    <w:p w14:paraId="4F946B81">
      <w:pPr>
        <w:keepNext w:val="0"/>
        <w:keepLines w:val="0"/>
        <w:pageBreakBefore w:val="0"/>
        <w:kinsoku/>
        <w:wordWrap/>
        <w:overflowPunct/>
        <w:topLinePunct w:val="0"/>
        <w:autoSpaceDE/>
        <w:autoSpaceDN/>
        <w:bidi w:val="0"/>
        <w:spacing w:line="50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按照比选文件要求的资格性条款进行逐条审查。</w:t>
      </w:r>
    </w:p>
    <w:p w14:paraId="0BED1C04">
      <w:pPr>
        <w:keepNext w:val="0"/>
        <w:keepLines w:val="0"/>
        <w:pageBreakBefore w:val="0"/>
        <w:kinsoku/>
        <w:wordWrap/>
        <w:overflowPunct/>
        <w:topLinePunct w:val="0"/>
        <w:autoSpaceDE/>
        <w:autoSpaceDN/>
        <w:bidi w:val="0"/>
        <w:spacing w:line="500" w:lineRule="exact"/>
        <w:ind w:firstLine="557" w:firstLineChars="198"/>
        <w:rPr>
          <w:rFonts w:hint="default" w:ascii="Times New Roman" w:hAnsi="Times New Roman" w:eastAsia="仿宋" w:cs="Times New Roman"/>
          <w:b/>
          <w:color w:val="auto"/>
          <w:sz w:val="28"/>
          <w:szCs w:val="28"/>
        </w:rPr>
      </w:pPr>
      <w:r>
        <w:rPr>
          <w:rFonts w:hint="default" w:ascii="Times New Roman" w:hAnsi="Times New Roman" w:eastAsia="仿宋" w:cs="Times New Roman"/>
          <w:b/>
          <w:bCs/>
          <w:color w:val="auto"/>
          <w:sz w:val="28"/>
          <w:szCs w:val="28"/>
        </w:rPr>
        <w:t>2、符合性审查</w:t>
      </w:r>
    </w:p>
    <w:p w14:paraId="39E73452">
      <w:pPr>
        <w:keepNext w:val="0"/>
        <w:keepLines w:val="0"/>
        <w:pageBreakBefore w:val="0"/>
        <w:kinsoku/>
        <w:wordWrap/>
        <w:overflowPunct/>
        <w:topLinePunct w:val="0"/>
        <w:autoSpaceDE/>
        <w:autoSpaceDN/>
        <w:bidi w:val="0"/>
        <w:spacing w:line="500" w:lineRule="exact"/>
        <w:ind w:firstLine="495"/>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按照比选文件要求的响应内容进行符合性审查。</w:t>
      </w:r>
    </w:p>
    <w:p w14:paraId="75CEF6D7">
      <w:pPr>
        <w:keepNext w:val="0"/>
        <w:keepLines w:val="0"/>
        <w:pageBreakBefore w:val="0"/>
        <w:kinsoku/>
        <w:wordWrap/>
        <w:overflowPunct/>
        <w:topLinePunct w:val="0"/>
        <w:autoSpaceDE/>
        <w:autoSpaceDN/>
        <w:bidi w:val="0"/>
        <w:spacing w:line="500" w:lineRule="exact"/>
        <w:ind w:firstLine="546" w:firstLineChars="200"/>
        <w:rPr>
          <w:rFonts w:hint="default" w:ascii="Times New Roman" w:hAnsi="Times New Roman" w:eastAsia="仿宋" w:cs="Times New Roman"/>
          <w:b/>
          <w:bCs/>
          <w:color w:val="000000" w:themeColor="text1"/>
          <w:spacing w:val="-4"/>
          <w:sz w:val="28"/>
          <w:szCs w:val="28"/>
          <w14:textFill>
            <w14:solidFill>
              <w14:schemeClr w14:val="tx1"/>
            </w14:solidFill>
          </w14:textFill>
        </w:rPr>
      </w:pPr>
      <w:r>
        <w:rPr>
          <w:rFonts w:hint="default" w:ascii="Times New Roman" w:hAnsi="Times New Roman" w:eastAsia="仿宋" w:cs="Times New Roman"/>
          <w:b/>
          <w:color w:val="000000" w:themeColor="text1"/>
          <w:spacing w:val="-4"/>
          <w:sz w:val="28"/>
          <w:szCs w:val="28"/>
          <w14:textFill>
            <w14:solidFill>
              <w14:schemeClr w14:val="tx1"/>
            </w14:solidFill>
          </w14:textFill>
        </w:rPr>
        <w:t>3、</w:t>
      </w:r>
      <w:r>
        <w:rPr>
          <w:rFonts w:hint="default" w:ascii="Times New Roman" w:hAnsi="Times New Roman" w:eastAsia="仿宋" w:cs="Times New Roman"/>
          <w:b/>
          <w:bCs/>
          <w:color w:val="000000" w:themeColor="text1"/>
          <w:spacing w:val="-4"/>
          <w:sz w:val="28"/>
          <w:szCs w:val="28"/>
          <w14:textFill>
            <w14:solidFill>
              <w14:schemeClr w14:val="tx1"/>
            </w14:solidFill>
          </w14:textFill>
        </w:rPr>
        <w:t>报价审查</w:t>
      </w:r>
    </w:p>
    <w:p w14:paraId="00DBA2A4">
      <w:pPr>
        <w:keepNext w:val="0"/>
        <w:keepLines w:val="0"/>
        <w:pageBreakBefore w:val="0"/>
        <w:kinsoku/>
        <w:wordWrap/>
        <w:overflowPunct/>
        <w:topLinePunct w:val="0"/>
        <w:autoSpaceDE/>
        <w:autoSpaceDN/>
        <w:bidi w:val="0"/>
        <w:spacing w:line="50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本次评标采用最低价中标评选法，报价相同的由我中心决定成交人。</w:t>
      </w:r>
    </w:p>
    <w:p w14:paraId="63DBB3A6">
      <w:pPr>
        <w:pageBreakBefore w:val="0"/>
        <w:kinsoku/>
        <w:wordWrap/>
        <w:overflowPunct/>
        <w:bidi w:val="0"/>
        <w:spacing w:line="560" w:lineRule="exact"/>
        <w:jc w:val="center"/>
        <w:rPr>
          <w:rFonts w:hint="default" w:ascii="Times New Roman" w:hAnsi="Times New Roman" w:eastAsia="仿宋" w:cs="Times New Roman"/>
          <w:b/>
          <w:bCs/>
          <w:color w:val="000000" w:themeColor="text1"/>
          <w:kern w:val="28"/>
          <w:sz w:val="28"/>
          <w:szCs w:val="28"/>
          <w14:textFill>
            <w14:solidFill>
              <w14:schemeClr w14:val="tx1"/>
            </w14:solidFill>
          </w14:textFill>
        </w:rPr>
      </w:pPr>
      <w:r>
        <w:rPr>
          <w:rFonts w:hint="default" w:ascii="Times New Roman" w:hAnsi="Times New Roman" w:eastAsia="仿宋" w:cs="Times New Roman"/>
          <w:b/>
          <w:bCs/>
          <w:color w:val="000000" w:themeColor="text1"/>
          <w:kern w:val="28"/>
          <w:sz w:val="28"/>
          <w:szCs w:val="28"/>
          <w14:textFill>
            <w14:solidFill>
              <w14:schemeClr w14:val="tx1"/>
            </w14:solidFill>
          </w14:textFill>
        </w:rPr>
        <w:t>第三章 投标文件</w:t>
      </w:r>
    </w:p>
    <w:p w14:paraId="7E87D645">
      <w:pPr>
        <w:pageBreakBefore w:val="0"/>
        <w:kinsoku/>
        <w:wordWrap/>
        <w:overflowPunct/>
        <w:bidi w:val="0"/>
        <w:spacing w:line="560" w:lineRule="exact"/>
        <w:ind w:firstLine="562" w:firstLineChars="200"/>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一、投标文件编制要求</w:t>
      </w:r>
    </w:p>
    <w:p w14:paraId="3C34211C">
      <w:pPr>
        <w:pageBreakBefore w:val="0"/>
        <w:kinsoku/>
        <w:wordWrap/>
        <w:overflowPunct/>
        <w:bidi w:val="0"/>
        <w:spacing w:line="560" w:lineRule="exact"/>
        <w:ind w:firstLine="560" w:firstLineChars="200"/>
        <w:textAlignment w:val="top"/>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1.投标文件编制规范、签署合格、投标唯一固定、投标无重大漏项及重大不合理。</w:t>
      </w:r>
    </w:p>
    <w:p w14:paraId="36E6F561">
      <w:pPr>
        <w:pageBreakBefore w:val="0"/>
        <w:kinsoku/>
        <w:wordWrap/>
        <w:overflowPunct/>
        <w:bidi w:val="0"/>
        <w:spacing w:line="560" w:lineRule="exact"/>
        <w:ind w:firstLine="560" w:firstLineChars="200"/>
        <w:textAlignment w:val="top"/>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2.投标文件份数为一式二份，一份为正本，一份为副本，正本和副本不一致的以正本为准。投标文件须用不褪色的黑色墨水书写或打印，投标文件应装订成册，封面右上角注明正本或副本，</w:t>
      </w:r>
      <w:r>
        <w:rPr>
          <w:rFonts w:hint="default" w:ascii="Times New Roman" w:hAnsi="Times New Roman" w:eastAsia="仿宋" w:cs="Times New Roman"/>
          <w:color w:val="000000" w:themeColor="text1"/>
          <w:kern w:val="0"/>
          <w:sz w:val="28"/>
          <w:szCs w:val="28"/>
          <w14:textFill>
            <w14:solidFill>
              <w14:schemeClr w14:val="tx1"/>
            </w14:solidFill>
          </w14:textFill>
        </w:rPr>
        <w:t>并每页加盖单位公章装入同一个密封袋。</w:t>
      </w:r>
      <w:r>
        <w:rPr>
          <w:rFonts w:hint="default" w:ascii="Times New Roman" w:hAnsi="Times New Roman" w:eastAsia="仿宋" w:cs="Times New Roman"/>
          <w:b/>
          <w:bCs/>
          <w:color w:val="000000" w:themeColor="text1"/>
          <w:kern w:val="0"/>
          <w:sz w:val="28"/>
          <w:szCs w:val="28"/>
          <w14:textFill>
            <w14:solidFill>
              <w14:schemeClr w14:val="tx1"/>
            </w14:solidFill>
          </w14:textFill>
        </w:rPr>
        <w:t>封口须以封条并加盖公章密封，否则投标文件当无效处理。</w:t>
      </w:r>
    </w:p>
    <w:p w14:paraId="55606BA5">
      <w:pPr>
        <w:pageBreakBefore w:val="0"/>
        <w:kinsoku/>
        <w:wordWrap/>
        <w:overflowPunct/>
        <w:bidi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3.投标文件密封在一个包封内，外包装材料不应留有可在包封后添加或抽取投标文件的空隙。外面标注“项目名称”、“投标文件”和“投标单位”等字样。</w:t>
      </w:r>
    </w:p>
    <w:p w14:paraId="6F0E77DF">
      <w:pPr>
        <w:pageBreakBefore w:val="0"/>
        <w:kinsoku/>
        <w:wordWrap/>
        <w:overflowPunct/>
        <w:bidi w:val="0"/>
        <w:adjustRightInd w:val="0"/>
        <w:snapToGrid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4.投标文件中的所有材料内容（复印件、截图证明等）</w:t>
      </w:r>
      <w:r>
        <w:rPr>
          <w:rFonts w:hint="default" w:ascii="Times New Roman" w:hAnsi="Times New Roman" w:eastAsia="仿宋" w:cs="Times New Roman"/>
          <w:b/>
          <w:bCs/>
          <w:color w:val="000000" w:themeColor="text1"/>
          <w:sz w:val="28"/>
          <w:szCs w:val="28"/>
          <w14:textFill>
            <w14:solidFill>
              <w14:schemeClr w14:val="tx1"/>
            </w14:solidFill>
          </w14:textFill>
        </w:rPr>
        <w:t>须清晰可见，模糊不清晰的则当无效材料处理</w:t>
      </w:r>
      <w:r>
        <w:rPr>
          <w:rFonts w:hint="default" w:ascii="Times New Roman" w:hAnsi="Times New Roman" w:eastAsia="仿宋" w:cs="Times New Roman"/>
          <w:color w:val="000000" w:themeColor="text1"/>
          <w:sz w:val="28"/>
          <w:szCs w:val="28"/>
          <w14:textFill>
            <w14:solidFill>
              <w14:schemeClr w14:val="tx1"/>
            </w14:solidFill>
          </w14:textFill>
        </w:rPr>
        <w:t>。投标文件须附上材料目录（附页码）。</w:t>
      </w:r>
    </w:p>
    <w:p w14:paraId="1919AB89">
      <w:pPr>
        <w:pageBreakBefore w:val="0"/>
        <w:widowControl/>
        <w:kinsoku/>
        <w:wordWrap/>
        <w:overflowPunct/>
        <w:bidi w:val="0"/>
        <w:adjustRightInd w:val="0"/>
        <w:snapToGrid w:val="0"/>
        <w:spacing w:line="560" w:lineRule="exact"/>
        <w:ind w:firstLine="562" w:firstLineChars="200"/>
        <w:jc w:val="left"/>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二、完整的投标文件至少包括以下内容</w:t>
      </w:r>
    </w:p>
    <w:p w14:paraId="08D674A0">
      <w:pPr>
        <w:pageBreakBefore w:val="0"/>
        <w:kinsoku/>
        <w:wordWrap/>
        <w:overflowPunct/>
        <w:bidi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1.营业执照或</w:t>
      </w:r>
      <w:r>
        <w:rPr>
          <w:rFonts w:hint="default" w:ascii="Times New Roman" w:hAnsi="Times New Roman" w:eastAsia="仿宋" w:cs="Times New Roman"/>
          <w:color w:val="000000" w:themeColor="text1"/>
          <w:sz w:val="28"/>
          <w:szCs w:val="28"/>
          <w:shd w:val="clear" w:color="auto" w:fill="FFFFFF"/>
          <w14:textFill>
            <w14:solidFill>
              <w14:schemeClr w14:val="tx1"/>
            </w14:solidFill>
          </w14:textFill>
        </w:rPr>
        <w:t>事业单位法人证书</w:t>
      </w:r>
      <w:r>
        <w:rPr>
          <w:rFonts w:hint="default" w:ascii="Times New Roman" w:hAnsi="Times New Roman" w:eastAsia="仿宋" w:cs="Times New Roman"/>
          <w:color w:val="000000" w:themeColor="text1"/>
          <w:sz w:val="28"/>
          <w:szCs w:val="28"/>
          <w14:textFill>
            <w14:solidFill>
              <w14:schemeClr w14:val="tx1"/>
            </w14:solidFill>
          </w14:textFill>
        </w:rPr>
        <w:t>（复印件）；</w:t>
      </w:r>
    </w:p>
    <w:p w14:paraId="2644C70A">
      <w:pPr>
        <w:pageBreakBefore w:val="0"/>
        <w:kinsoku/>
        <w:wordWrap/>
        <w:overflowPunct/>
        <w:bidi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2.相关资格文件（复印件）；</w:t>
      </w:r>
    </w:p>
    <w:p w14:paraId="379484DA">
      <w:pPr>
        <w:pageBreakBefore w:val="0"/>
        <w:kinsoku/>
        <w:wordWrap/>
        <w:overflowPunct/>
        <w:bidi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3.法定代表人证明书及法人授权委托证明书（原件）；</w:t>
      </w:r>
    </w:p>
    <w:p w14:paraId="57B97E34">
      <w:pPr>
        <w:pageBreakBefore w:val="0"/>
        <w:kinsoku/>
        <w:wordWrap/>
        <w:overflowPunct/>
        <w:bidi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4.投标表（原件，格式详见附件三）；</w:t>
      </w:r>
    </w:p>
    <w:p w14:paraId="022B7706">
      <w:pPr>
        <w:pageBreakBefore w:val="0"/>
        <w:kinsoku/>
        <w:wordWrap/>
        <w:overflowPunct/>
        <w:bidi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5.业绩情况汇总表（原件，格式详见附件四），须附业绩证明材料（保单或合同的复印件）；</w:t>
      </w:r>
    </w:p>
    <w:p w14:paraId="5881C465">
      <w:pPr>
        <w:pStyle w:val="7"/>
        <w:pageBreakBefore w:val="0"/>
        <w:kinsoku/>
        <w:wordWrap/>
        <w:overflowPunct/>
        <w:bidi w:val="0"/>
        <w:adjustRightInd w:val="0"/>
        <w:snapToGrid w:val="0"/>
        <w:spacing w:line="560" w:lineRule="exact"/>
        <w:ind w:firstLine="560" w:firstLineChars="200"/>
        <w:jc w:val="left"/>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6.</w:t>
      </w:r>
      <w:r>
        <w:rPr>
          <w:rFonts w:hint="default" w:ascii="Times New Roman" w:hAnsi="Times New Roman" w:eastAsia="仿宋" w:cs="Times New Roman"/>
          <w:bCs/>
          <w:color w:val="000000" w:themeColor="text1"/>
          <w:sz w:val="28"/>
          <w:szCs w:val="28"/>
          <w14:textFill>
            <w14:solidFill>
              <w14:schemeClr w14:val="tx1"/>
            </w14:solidFill>
          </w14:textFill>
        </w:rPr>
        <w:t>人员配备情况表（原件，格式详见附件五，可参照格式修改）</w:t>
      </w:r>
    </w:p>
    <w:p w14:paraId="05583EC6">
      <w:pPr>
        <w:pageBreakBefore w:val="0"/>
        <w:kinsoku/>
        <w:wordWrap/>
        <w:overflowPunct/>
        <w:bidi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7.服务响应承诺书、赔付承诺函（格式自拟）；</w:t>
      </w:r>
    </w:p>
    <w:p w14:paraId="256CE183">
      <w:pPr>
        <w:pageBreakBefore w:val="0"/>
        <w:kinsoku/>
        <w:wordWrap/>
        <w:overflowPunct/>
        <w:bidi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8.投标人认为需要提供的其他资料。</w:t>
      </w:r>
    </w:p>
    <w:p w14:paraId="5D141F2D">
      <w:pPr>
        <w:pageBreakBefore w:val="0"/>
        <w:kinsoku/>
        <w:wordWrap/>
        <w:overflowPunct/>
        <w:bidi w:val="0"/>
        <w:spacing w:line="560" w:lineRule="exact"/>
        <w:ind w:firstLine="562" w:firstLineChars="200"/>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以上复印件材料均需加盖单位公章。</w:t>
      </w:r>
    </w:p>
    <w:p w14:paraId="67FCF137">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附件：</w:t>
      </w:r>
    </w:p>
    <w:p w14:paraId="6DBEAC16">
      <w:pPr>
        <w:pStyle w:val="7"/>
        <w:pageBreakBefore w:val="0"/>
        <w:kinsoku/>
        <w:wordWrap/>
        <w:overflowPunct/>
        <w:bidi w:val="0"/>
        <w:adjustRightInd w:val="0"/>
        <w:snapToGrid w:val="0"/>
        <w:spacing w:line="56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1.资格性和符合性审查表；</w:t>
      </w:r>
    </w:p>
    <w:p w14:paraId="46DCB16B">
      <w:pPr>
        <w:pStyle w:val="7"/>
        <w:pageBreakBefore w:val="0"/>
        <w:kinsoku/>
        <w:wordWrap/>
        <w:overflowPunct/>
        <w:bidi w:val="0"/>
        <w:adjustRightInd w:val="0"/>
        <w:snapToGrid w:val="0"/>
        <w:spacing w:line="56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2.投标表；</w:t>
      </w:r>
    </w:p>
    <w:p w14:paraId="1B8F1F3A">
      <w:pPr>
        <w:pStyle w:val="7"/>
        <w:pageBreakBefore w:val="0"/>
        <w:kinsoku/>
        <w:wordWrap/>
        <w:overflowPunct/>
        <w:bidi w:val="0"/>
        <w:adjustRightInd w:val="0"/>
        <w:snapToGrid w:val="0"/>
        <w:spacing w:line="56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3.业绩情况汇总表；</w:t>
      </w:r>
    </w:p>
    <w:p w14:paraId="5CADC73D">
      <w:pPr>
        <w:pStyle w:val="7"/>
        <w:pageBreakBefore w:val="0"/>
        <w:kinsoku/>
        <w:wordWrap/>
        <w:overflowPunct/>
        <w:bidi w:val="0"/>
        <w:adjustRightInd w:val="0"/>
        <w:snapToGrid w:val="0"/>
        <w:spacing w:line="560" w:lineRule="exact"/>
        <w:ind w:firstLine="560" w:firstLineChars="200"/>
        <w:rPr>
          <w:rFonts w:hint="default" w:ascii="Times New Roman" w:hAnsi="Times New Roman" w:eastAsia="仿宋" w:cs="Times New Roman"/>
          <w:color w:val="000000" w:themeColor="text1"/>
          <w:sz w:val="28"/>
          <w:szCs w:val="28"/>
          <w14:textFill>
            <w14:solidFill>
              <w14:schemeClr w14:val="tx1"/>
            </w14:solidFill>
          </w14:textFill>
        </w:rPr>
        <w:sectPr>
          <w:headerReference r:id="rId3" w:type="default"/>
          <w:footerReference r:id="rId4" w:type="default"/>
          <w:pgSz w:w="11906" w:h="16838"/>
          <w:pgMar w:top="1418" w:right="1457" w:bottom="1418" w:left="1457" w:header="851" w:footer="992" w:gutter="0"/>
          <w:cols w:space="720" w:num="1"/>
          <w:docGrid w:type="lines" w:linePitch="312" w:charSpace="0"/>
        </w:sectPr>
      </w:pPr>
      <w:r>
        <w:rPr>
          <w:rFonts w:hint="default" w:ascii="Times New Roman" w:hAnsi="Times New Roman" w:eastAsia="仿宋" w:cs="Times New Roman"/>
          <w:color w:val="000000" w:themeColor="text1"/>
          <w:sz w:val="28"/>
          <w:szCs w:val="28"/>
          <w14:textFill>
            <w14:solidFill>
              <w14:schemeClr w14:val="tx1"/>
            </w14:solidFill>
          </w14:textFill>
        </w:rPr>
        <w:t>4.</w:t>
      </w:r>
      <w:r>
        <w:rPr>
          <w:rFonts w:hint="default" w:ascii="Times New Roman" w:hAnsi="Times New Roman" w:eastAsia="仿宋" w:cs="Times New Roman"/>
          <w:bCs/>
          <w:color w:val="000000" w:themeColor="text1"/>
          <w:sz w:val="28"/>
          <w:szCs w:val="28"/>
          <w14:textFill>
            <w14:solidFill>
              <w14:schemeClr w14:val="tx1"/>
            </w14:solidFill>
          </w14:textFill>
        </w:rPr>
        <w:t>人员配备情况表</w:t>
      </w:r>
      <w:r>
        <w:rPr>
          <w:rFonts w:hint="default" w:ascii="Times New Roman" w:hAnsi="Times New Roman" w:eastAsia="仿宋" w:cs="Times New Roman"/>
          <w:color w:val="000000" w:themeColor="text1"/>
          <w:sz w:val="28"/>
          <w:szCs w:val="28"/>
          <w14:textFill>
            <w14:solidFill>
              <w14:schemeClr w14:val="tx1"/>
            </w14:solidFill>
          </w14:textFill>
        </w:rPr>
        <w:t>。</w:t>
      </w:r>
    </w:p>
    <w:p w14:paraId="11C160D4">
      <w:pPr>
        <w:pStyle w:val="7"/>
        <w:pageBreakBefore w:val="0"/>
        <w:kinsoku/>
        <w:wordWrap/>
        <w:overflowPunct/>
        <w:bidi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附件一</w:t>
      </w:r>
    </w:p>
    <w:p w14:paraId="42AC6D8C">
      <w:pPr>
        <w:pStyle w:val="7"/>
        <w:pageBreakBefore w:val="0"/>
        <w:kinsoku/>
        <w:wordWrap/>
        <w:overflowPunct/>
        <w:bidi w:val="0"/>
        <w:spacing w:line="560" w:lineRule="exact"/>
        <w:ind w:firstLine="562" w:firstLineChars="200"/>
        <w:jc w:val="center"/>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资格性和符合性审查表</w:t>
      </w:r>
    </w:p>
    <w:p w14:paraId="6BF3671A">
      <w:pPr>
        <w:pageBreakBefore w:val="0"/>
        <w:kinsoku/>
        <w:wordWrap/>
        <w:overflowPunct/>
        <w:bidi w:val="0"/>
        <w:spacing w:before="156" w:line="560" w:lineRule="exact"/>
        <w:ind w:left="1960" w:hanging="1960" w:hangingChars="700"/>
        <w:jc w:val="left"/>
        <w:rPr>
          <w:rFonts w:hint="default" w:ascii="Times New Roman" w:hAnsi="Times New Roman" w:eastAsia="仿宋" w:cs="Times New Roman"/>
          <w:color w:val="000000" w:themeColor="text1"/>
          <w:sz w:val="28"/>
          <w:szCs w:val="28"/>
          <w:u w:val="single"/>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项目名称：</w:t>
      </w:r>
      <w:r>
        <w:rPr>
          <w:rFonts w:hint="default" w:ascii="Times New Roman" w:hAnsi="Times New Roman" w:eastAsia="仿宋" w:cs="Times New Roman"/>
          <w:bCs/>
          <w:color w:val="000000" w:themeColor="text1"/>
          <w:kern w:val="1"/>
          <w:sz w:val="28"/>
          <w:szCs w:val="28"/>
          <w:u w:val="single"/>
          <w14:textFill>
            <w14:solidFill>
              <w14:schemeClr w14:val="tx1"/>
            </w14:solidFill>
          </w14:textFill>
        </w:rPr>
        <w:t>成都市温江区城市道路桥梁管护中心2026-2027年度公众责任险服务</w:t>
      </w:r>
    </w:p>
    <w:p w14:paraId="73C74914">
      <w:pPr>
        <w:pageBreakBefore w:val="0"/>
        <w:kinsoku/>
        <w:wordWrap/>
        <w:overflowPunct/>
        <w:bidi w:val="0"/>
        <w:spacing w:line="560" w:lineRule="exact"/>
        <w:rPr>
          <w:rFonts w:hint="default" w:ascii="Times New Roman" w:hAnsi="Times New Roman" w:eastAsia="仿宋" w:cs="Times New Roman"/>
          <w:b/>
          <w:bCs/>
          <w:color w:val="000000" w:themeColor="text1"/>
          <w:sz w:val="28"/>
          <w:szCs w:val="28"/>
          <w:u w:val="single"/>
          <w14:textFill>
            <w14:solidFill>
              <w14:schemeClr w14:val="tx1"/>
            </w14:solidFill>
          </w14:textFill>
        </w:rPr>
      </w:pPr>
    </w:p>
    <w:tbl>
      <w:tblPr>
        <w:tblStyle w:val="15"/>
        <w:tblW w:w="9095" w:type="dxa"/>
        <w:tblInd w:w="-2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4831"/>
        <w:gridCol w:w="1108"/>
        <w:gridCol w:w="1119"/>
        <w:gridCol w:w="1287"/>
      </w:tblGrid>
      <w:tr w14:paraId="224C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50" w:type="dxa"/>
            <w:vAlign w:val="center"/>
          </w:tcPr>
          <w:p w14:paraId="3F4B6F30">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序号</w:t>
            </w:r>
          </w:p>
        </w:tc>
        <w:tc>
          <w:tcPr>
            <w:tcW w:w="4831" w:type="dxa"/>
            <w:vAlign w:val="center"/>
          </w:tcPr>
          <w:p w14:paraId="4BF56612">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审查内容</w:t>
            </w:r>
          </w:p>
        </w:tc>
        <w:tc>
          <w:tcPr>
            <w:tcW w:w="1108" w:type="dxa"/>
            <w:vAlign w:val="center"/>
          </w:tcPr>
          <w:p w14:paraId="20598E04">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投标人1</w:t>
            </w:r>
          </w:p>
        </w:tc>
        <w:tc>
          <w:tcPr>
            <w:tcW w:w="1119" w:type="dxa"/>
            <w:vAlign w:val="center"/>
          </w:tcPr>
          <w:p w14:paraId="26AA0240">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投标人2</w:t>
            </w:r>
          </w:p>
        </w:tc>
        <w:tc>
          <w:tcPr>
            <w:tcW w:w="1287" w:type="dxa"/>
            <w:vAlign w:val="center"/>
          </w:tcPr>
          <w:p w14:paraId="63252013">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w:t>
            </w:r>
          </w:p>
        </w:tc>
      </w:tr>
      <w:tr w14:paraId="183A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14:paraId="658D8F01">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1</w:t>
            </w:r>
          </w:p>
        </w:tc>
        <w:tc>
          <w:tcPr>
            <w:tcW w:w="4831" w:type="dxa"/>
            <w:vAlign w:val="center"/>
          </w:tcPr>
          <w:p w14:paraId="02B3FD3F">
            <w:pPr>
              <w:pStyle w:val="7"/>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具有中国银行保险监督管理委员会核准颁发的《经营保险业务许可证》（业务范围须涵盖本项目保险服务）、具有独立法人资格，拥有总公司授权经营资格的保险公司。</w:t>
            </w:r>
          </w:p>
        </w:tc>
        <w:tc>
          <w:tcPr>
            <w:tcW w:w="1108" w:type="dxa"/>
          </w:tcPr>
          <w:p w14:paraId="4E07123B">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119" w:type="dxa"/>
          </w:tcPr>
          <w:p w14:paraId="0053520F">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287" w:type="dxa"/>
          </w:tcPr>
          <w:p w14:paraId="177FADCB">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r w14:paraId="7F45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50" w:type="dxa"/>
            <w:vAlign w:val="center"/>
          </w:tcPr>
          <w:p w14:paraId="29DE5C69">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2</w:t>
            </w:r>
          </w:p>
        </w:tc>
        <w:tc>
          <w:tcPr>
            <w:tcW w:w="4831" w:type="dxa"/>
            <w:vAlign w:val="center"/>
          </w:tcPr>
          <w:p w14:paraId="528BFA79">
            <w:pPr>
              <w:pStyle w:val="7"/>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本项目不接受联合体投标。</w:t>
            </w:r>
          </w:p>
        </w:tc>
        <w:tc>
          <w:tcPr>
            <w:tcW w:w="1108" w:type="dxa"/>
          </w:tcPr>
          <w:p w14:paraId="5F14C733">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119" w:type="dxa"/>
          </w:tcPr>
          <w:p w14:paraId="3B2AE82A">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287" w:type="dxa"/>
          </w:tcPr>
          <w:p w14:paraId="781957AA">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r w14:paraId="21DB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atLeast"/>
        </w:trPr>
        <w:tc>
          <w:tcPr>
            <w:tcW w:w="750" w:type="dxa"/>
            <w:vAlign w:val="center"/>
          </w:tcPr>
          <w:p w14:paraId="17535DC7">
            <w:pPr>
              <w:pStyle w:val="7"/>
              <w:pageBreakBefore w:val="0"/>
              <w:tabs>
                <w:tab w:val="left" w:pos="414"/>
              </w:tabs>
              <w:kinsoku/>
              <w:wordWrap/>
              <w:overflowPunct/>
              <w:bidi w:val="0"/>
              <w:spacing w:line="560" w:lineRule="exact"/>
              <w:ind w:firstLine="280" w:firstLineChars="1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3</w:t>
            </w:r>
          </w:p>
        </w:tc>
        <w:tc>
          <w:tcPr>
            <w:tcW w:w="4831" w:type="dxa"/>
            <w:vAlign w:val="center"/>
          </w:tcPr>
          <w:p w14:paraId="74414B2B">
            <w:pPr>
              <w:pStyle w:val="7"/>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最低一个类似业绩</w:t>
            </w:r>
          </w:p>
        </w:tc>
        <w:tc>
          <w:tcPr>
            <w:tcW w:w="1108" w:type="dxa"/>
          </w:tcPr>
          <w:p w14:paraId="07EDB373">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119" w:type="dxa"/>
          </w:tcPr>
          <w:p w14:paraId="4509FBF3">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287" w:type="dxa"/>
          </w:tcPr>
          <w:p w14:paraId="2B136375">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r w14:paraId="69D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8" w:hRule="atLeast"/>
        </w:trPr>
        <w:tc>
          <w:tcPr>
            <w:tcW w:w="750" w:type="dxa"/>
            <w:vAlign w:val="center"/>
          </w:tcPr>
          <w:p w14:paraId="75FCA247">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4</w:t>
            </w:r>
          </w:p>
        </w:tc>
        <w:tc>
          <w:tcPr>
            <w:tcW w:w="4831" w:type="dxa"/>
            <w:vAlign w:val="center"/>
          </w:tcPr>
          <w:p w14:paraId="77EA70CE">
            <w:pPr>
              <w:pStyle w:val="7"/>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投标总金额未超过本项目最高投标限价，且为唯一固定投标。</w:t>
            </w:r>
          </w:p>
        </w:tc>
        <w:tc>
          <w:tcPr>
            <w:tcW w:w="1108" w:type="dxa"/>
          </w:tcPr>
          <w:p w14:paraId="77F68824">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119" w:type="dxa"/>
          </w:tcPr>
          <w:p w14:paraId="47D1D047">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287" w:type="dxa"/>
          </w:tcPr>
          <w:p w14:paraId="57300FBB">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r w14:paraId="5E07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5581" w:type="dxa"/>
            <w:gridSpan w:val="2"/>
          </w:tcPr>
          <w:p w14:paraId="2A317002">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结论</w:t>
            </w:r>
          </w:p>
        </w:tc>
        <w:tc>
          <w:tcPr>
            <w:tcW w:w="1108" w:type="dxa"/>
          </w:tcPr>
          <w:p w14:paraId="45A2D571">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119" w:type="dxa"/>
          </w:tcPr>
          <w:p w14:paraId="12E32C4A">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287" w:type="dxa"/>
          </w:tcPr>
          <w:p w14:paraId="3026DD5D">
            <w:pPr>
              <w:pStyle w:val="7"/>
              <w:pageBreakBefore w:val="0"/>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bl>
    <w:p w14:paraId="4DCD338B">
      <w:pPr>
        <w:pStyle w:val="7"/>
        <w:pageBreakBefore w:val="0"/>
        <w:kinsoku/>
        <w:wordWrap/>
        <w:overflowPunct/>
        <w:bidi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注：1. 每一项符合的打“√”，不符合的打“×”。</w:t>
      </w:r>
    </w:p>
    <w:p w14:paraId="543F29A5">
      <w:pPr>
        <w:pStyle w:val="7"/>
        <w:pageBreakBefore w:val="0"/>
        <w:numPr>
          <w:ilvl w:val="0"/>
          <w:numId w:val="2"/>
        </w:numPr>
        <w:kinsoku/>
        <w:wordWrap/>
        <w:overflowPunct/>
        <w:bidi w:val="0"/>
        <w:spacing w:line="560" w:lineRule="exact"/>
        <w:ind w:firstLine="560" w:firstLineChars="2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“结论”一栏填写“通过”或“不通过”；任何一项出现“×”的，结论为不通过；不通过的为无效投标。</w:t>
      </w:r>
    </w:p>
    <w:p w14:paraId="162D8A17">
      <w:pPr>
        <w:pStyle w:val="7"/>
        <w:pageBreakBefore w:val="0"/>
        <w:kinsoku/>
        <w:wordWrap/>
        <w:overflowPunct/>
        <w:bidi w:val="0"/>
        <w:spacing w:line="560" w:lineRule="exact"/>
        <w:ind w:firstLine="560" w:firstLineChars="200"/>
        <w:jc w:val="right"/>
        <w:rPr>
          <w:rFonts w:hint="default" w:ascii="Times New Roman" w:hAnsi="Times New Roman" w:eastAsia="仿宋" w:cs="Times New Roman"/>
          <w:color w:val="000000" w:themeColor="text1"/>
          <w:sz w:val="28"/>
          <w:szCs w:val="28"/>
          <w14:textFill>
            <w14:solidFill>
              <w14:schemeClr w14:val="tx1"/>
            </w14:solidFill>
          </w14:textFill>
        </w:rPr>
      </w:pPr>
    </w:p>
    <w:p w14:paraId="6C176474">
      <w:pPr>
        <w:pStyle w:val="7"/>
        <w:pageBreakBefore w:val="0"/>
        <w:kinsoku/>
        <w:wordWrap/>
        <w:overflowPunct/>
        <w:bidi w:val="0"/>
        <w:spacing w:line="560" w:lineRule="exact"/>
        <w:ind w:firstLine="560" w:firstLineChars="200"/>
        <w:jc w:val="right"/>
        <w:rPr>
          <w:rFonts w:hint="default" w:ascii="Times New Roman" w:hAnsi="Times New Roman" w:eastAsia="仿宋" w:cs="Times New Roman"/>
          <w:color w:val="000000" w:themeColor="text1"/>
          <w:sz w:val="28"/>
          <w:szCs w:val="28"/>
          <w14:textFill>
            <w14:solidFill>
              <w14:schemeClr w14:val="tx1"/>
            </w14:solidFill>
          </w14:textFill>
        </w:rPr>
        <w:sectPr>
          <w:pgSz w:w="12240" w:h="15840"/>
          <w:pgMar w:top="1440" w:right="1803" w:bottom="1440" w:left="1800" w:header="720" w:footer="720" w:gutter="0"/>
          <w:cols w:space="720" w:num="1"/>
          <w:docGrid w:linePitch="286" w:charSpace="0"/>
        </w:sectPr>
      </w:pPr>
      <w:r>
        <w:rPr>
          <w:rFonts w:hint="default" w:ascii="Times New Roman" w:hAnsi="Times New Roman" w:eastAsia="仿宋" w:cs="Times New Roman"/>
          <w:color w:val="000000" w:themeColor="text1"/>
          <w:sz w:val="28"/>
          <w:szCs w:val="28"/>
          <w14:textFill>
            <w14:solidFill>
              <w14:schemeClr w14:val="tx1"/>
            </w14:solidFill>
          </w14:textFill>
        </w:rPr>
        <w:t>日期：2026年   月   日</w:t>
      </w:r>
    </w:p>
    <w:p w14:paraId="587596A6">
      <w:pPr>
        <w:pStyle w:val="7"/>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 xml:space="preserve">附件二                          </w:t>
      </w:r>
    </w:p>
    <w:p w14:paraId="32213659">
      <w:pPr>
        <w:pStyle w:val="26"/>
        <w:pageBreakBefore w:val="0"/>
        <w:kinsoku/>
        <w:wordWrap/>
        <w:overflowPunct/>
        <w:bidi w:val="0"/>
        <w:spacing w:line="560" w:lineRule="exact"/>
        <w:ind w:firstLine="0" w:firstLineChars="0"/>
        <w:jc w:val="center"/>
        <w:rPr>
          <w:rFonts w:hint="default" w:ascii="Times New Roman" w:hAnsi="Times New Roman" w:eastAsia="仿宋" w:cs="Times New Roman"/>
          <w:b/>
          <w:color w:val="000000" w:themeColor="text1"/>
          <w:spacing w:val="0"/>
          <w:kern w:val="2"/>
          <w:sz w:val="28"/>
          <w:szCs w:val="28"/>
          <w14:textFill>
            <w14:solidFill>
              <w14:schemeClr w14:val="tx1"/>
            </w14:solidFill>
          </w14:textFill>
        </w:rPr>
      </w:pPr>
      <w:r>
        <w:rPr>
          <w:rFonts w:hint="default" w:ascii="Times New Roman" w:hAnsi="Times New Roman" w:eastAsia="仿宋" w:cs="Times New Roman"/>
          <w:b/>
          <w:color w:val="000000" w:themeColor="text1"/>
          <w:spacing w:val="0"/>
          <w:kern w:val="2"/>
          <w:sz w:val="28"/>
          <w:szCs w:val="28"/>
          <w14:textFill>
            <w14:solidFill>
              <w14:schemeClr w14:val="tx1"/>
            </w14:solidFill>
          </w14:textFill>
        </w:rPr>
        <w:t>投标报价表</w:t>
      </w:r>
    </w:p>
    <w:p w14:paraId="3F2EB838">
      <w:pPr>
        <w:pStyle w:val="26"/>
        <w:pageBreakBefore w:val="0"/>
        <w:kinsoku/>
        <w:wordWrap/>
        <w:overflowPunct/>
        <w:bidi w:val="0"/>
        <w:spacing w:line="560" w:lineRule="exact"/>
        <w:ind w:firstLine="288" w:firstLineChars="100"/>
        <w:jc w:val="left"/>
        <w:rPr>
          <w:rFonts w:hint="default" w:ascii="Times New Roman" w:hAnsi="Times New Roman" w:eastAsia="仿宋" w:cs="Times New Roman"/>
          <w:bCs/>
          <w:color w:val="000000" w:themeColor="text1"/>
          <w:spacing w:val="0"/>
          <w:kern w:val="2"/>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项目名称：</w:t>
      </w:r>
      <w:r>
        <w:rPr>
          <w:rFonts w:hint="default" w:ascii="Times New Roman" w:hAnsi="Times New Roman" w:eastAsia="仿宋" w:cs="Times New Roman"/>
          <w:color w:val="000000" w:themeColor="text1"/>
          <w:sz w:val="28"/>
          <w:szCs w:val="28"/>
          <w:u w:val="single"/>
          <w14:textFill>
            <w14:solidFill>
              <w14:schemeClr w14:val="tx1"/>
            </w14:solidFill>
          </w14:textFill>
        </w:rPr>
        <w:t>成都市温江区城市道路桥梁管护中心2026-2027年度公众责任险服务</w:t>
      </w:r>
    </w:p>
    <w:tbl>
      <w:tblPr>
        <w:tblStyle w:val="15"/>
        <w:tblW w:w="8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7"/>
        <w:gridCol w:w="2145"/>
        <w:gridCol w:w="1575"/>
        <w:gridCol w:w="1711"/>
        <w:gridCol w:w="2204"/>
      </w:tblGrid>
      <w:tr w14:paraId="2A963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707" w:type="dxa"/>
            <w:vAlign w:val="center"/>
          </w:tcPr>
          <w:p w14:paraId="7E5E058C">
            <w:pPr>
              <w:pageBreakBefore w:val="0"/>
              <w:kinsoku/>
              <w:wordWrap/>
              <w:overflowPunct/>
              <w:bidi w:val="0"/>
              <w:adjustRightInd w:val="0"/>
              <w:snapToGrid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序号</w:t>
            </w:r>
          </w:p>
        </w:tc>
        <w:tc>
          <w:tcPr>
            <w:tcW w:w="2145" w:type="dxa"/>
            <w:vAlign w:val="center"/>
          </w:tcPr>
          <w:p w14:paraId="7807B774">
            <w:pPr>
              <w:pageBreakBefore w:val="0"/>
              <w:kinsoku/>
              <w:wordWrap/>
              <w:overflowPunct/>
              <w:bidi w:val="0"/>
              <w:adjustRightInd w:val="0"/>
              <w:snapToGrid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服务内容</w:t>
            </w:r>
          </w:p>
        </w:tc>
        <w:tc>
          <w:tcPr>
            <w:tcW w:w="1575" w:type="dxa"/>
            <w:vAlign w:val="center"/>
          </w:tcPr>
          <w:p w14:paraId="5B15D70C">
            <w:pPr>
              <w:pageBreakBefore w:val="0"/>
              <w:kinsoku/>
              <w:wordWrap/>
              <w:overflowPunct/>
              <w:bidi w:val="0"/>
              <w:adjustRightInd w:val="0"/>
              <w:snapToGrid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最高限价</w:t>
            </w:r>
          </w:p>
          <w:p w14:paraId="6FE7D594">
            <w:pPr>
              <w:pageBreakBefore w:val="0"/>
              <w:kinsoku/>
              <w:wordWrap/>
              <w:overflowPunct/>
              <w:bidi w:val="0"/>
              <w:adjustRightInd w:val="0"/>
              <w:snapToGrid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（万元）</w:t>
            </w:r>
          </w:p>
        </w:tc>
        <w:tc>
          <w:tcPr>
            <w:tcW w:w="1711" w:type="dxa"/>
            <w:vAlign w:val="center"/>
          </w:tcPr>
          <w:p w14:paraId="2BF97006">
            <w:pPr>
              <w:pageBreakBefore w:val="0"/>
              <w:kinsoku/>
              <w:wordWrap/>
              <w:overflowPunct/>
              <w:bidi w:val="0"/>
              <w:adjustRightInd w:val="0"/>
              <w:snapToGrid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投标报价</w:t>
            </w:r>
          </w:p>
          <w:p w14:paraId="1B4B6754">
            <w:pPr>
              <w:pageBreakBefore w:val="0"/>
              <w:kinsoku/>
              <w:wordWrap/>
              <w:overflowPunct/>
              <w:bidi w:val="0"/>
              <w:adjustRightInd w:val="0"/>
              <w:snapToGrid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（万元）</w:t>
            </w:r>
          </w:p>
        </w:tc>
        <w:tc>
          <w:tcPr>
            <w:tcW w:w="2204" w:type="dxa"/>
            <w:tcBorders>
              <w:bottom w:val="single" w:color="auto" w:sz="4" w:space="0"/>
            </w:tcBorders>
            <w:vAlign w:val="center"/>
          </w:tcPr>
          <w:p w14:paraId="36C7D07E">
            <w:pPr>
              <w:pageBreakBefore w:val="0"/>
              <w:kinsoku/>
              <w:wordWrap/>
              <w:overflowPunct/>
              <w:bidi w:val="0"/>
              <w:adjustRightInd w:val="0"/>
              <w:snapToGrid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备注</w:t>
            </w:r>
          </w:p>
        </w:tc>
      </w:tr>
      <w:tr w14:paraId="41A54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4" w:hRule="exact"/>
          <w:jc w:val="center"/>
        </w:trPr>
        <w:tc>
          <w:tcPr>
            <w:tcW w:w="707" w:type="dxa"/>
            <w:vAlign w:val="center"/>
          </w:tcPr>
          <w:p w14:paraId="5FB4FC2D">
            <w:pPr>
              <w:pageBreakBefore w:val="0"/>
              <w:kinsoku/>
              <w:wordWrap/>
              <w:overflowPunct/>
              <w:bidi w:val="0"/>
              <w:adjustRightInd w:val="0"/>
              <w:snapToGrid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一</w:t>
            </w:r>
          </w:p>
        </w:tc>
        <w:tc>
          <w:tcPr>
            <w:tcW w:w="2145" w:type="dxa"/>
            <w:vAlign w:val="center"/>
          </w:tcPr>
          <w:p w14:paraId="3D3B2EFA">
            <w:pPr>
              <w:pageBreakBefore w:val="0"/>
              <w:kinsoku/>
              <w:wordWrap/>
              <w:overflowPunct/>
              <w:bidi w:val="0"/>
              <w:adjustRightInd w:val="0"/>
              <w:snapToGrid w:val="0"/>
              <w:spacing w:line="560" w:lineRule="exact"/>
              <w:jc w:val="left"/>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2"/>
                <w:szCs w:val="22"/>
                <w:u w:val="single"/>
                <w14:textFill>
                  <w14:solidFill>
                    <w14:schemeClr w14:val="tx1"/>
                  </w14:solidFill>
                </w14:textFill>
              </w:rPr>
              <w:t>成都市温江区城市道路桥梁管护中心2026-2027年度公众责任险服务</w:t>
            </w:r>
          </w:p>
        </w:tc>
        <w:tc>
          <w:tcPr>
            <w:tcW w:w="1575" w:type="dxa"/>
            <w:vAlign w:val="center"/>
          </w:tcPr>
          <w:p w14:paraId="2286047D">
            <w:pPr>
              <w:pageBreakBefore w:val="0"/>
              <w:kinsoku/>
              <w:wordWrap/>
              <w:overflowPunct/>
              <w:bidi w:val="0"/>
              <w:adjustRightInd w:val="0"/>
              <w:snapToGrid w:val="0"/>
              <w:spacing w:after="120"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6.0</w:t>
            </w:r>
          </w:p>
        </w:tc>
        <w:tc>
          <w:tcPr>
            <w:tcW w:w="1711" w:type="dxa"/>
            <w:tcBorders>
              <w:right w:val="single" w:color="auto" w:sz="4" w:space="0"/>
            </w:tcBorders>
            <w:vAlign w:val="center"/>
          </w:tcPr>
          <w:p w14:paraId="0A66F6D2">
            <w:pPr>
              <w:keepNext/>
              <w:keepLines/>
              <w:pageBreakBefore w:val="0"/>
              <w:kinsoku/>
              <w:wordWrap/>
              <w:overflowPunct/>
              <w:bidi w:val="0"/>
              <w:spacing w:before="340" w:after="330" w:line="560" w:lineRule="exact"/>
              <w:jc w:val="center"/>
              <w:outlineLvl w:val="0"/>
              <w:rPr>
                <w:rFonts w:hint="default" w:ascii="Times New Roman" w:hAnsi="Times New Roman" w:eastAsia="仿宋" w:cs="Times New Roman"/>
                <w:color w:val="000000" w:themeColor="text1"/>
                <w:sz w:val="28"/>
                <w:szCs w:val="28"/>
                <w:highlight w:val="yellow"/>
                <w14:textFill>
                  <w14:solidFill>
                    <w14:schemeClr w14:val="tx1"/>
                  </w14:solidFill>
                </w14:textFill>
              </w:rPr>
            </w:pPr>
          </w:p>
        </w:tc>
        <w:tc>
          <w:tcPr>
            <w:tcW w:w="2204" w:type="dxa"/>
            <w:tcBorders>
              <w:top w:val="single" w:color="auto" w:sz="4" w:space="0"/>
              <w:left w:val="single" w:color="auto" w:sz="4" w:space="0"/>
              <w:bottom w:val="single" w:color="auto" w:sz="4" w:space="0"/>
              <w:right w:val="single" w:color="auto" w:sz="4" w:space="0"/>
            </w:tcBorders>
            <w:vAlign w:val="center"/>
          </w:tcPr>
          <w:p w14:paraId="2B178DBD">
            <w:pPr>
              <w:pageBreakBefore w:val="0"/>
              <w:kinsoku/>
              <w:wordWrap/>
              <w:overflowPunct/>
              <w:bidi w:val="0"/>
              <w:adjustRightInd w:val="0"/>
              <w:snapToGrid w:val="0"/>
              <w:spacing w:after="120" w:line="560" w:lineRule="exact"/>
              <w:jc w:val="left"/>
              <w:rPr>
                <w:rFonts w:hint="default" w:ascii="Times New Roman" w:hAnsi="Times New Roman" w:eastAsia="仿宋" w:cs="Times New Roman"/>
                <w:color w:val="000000" w:themeColor="text1"/>
                <w:sz w:val="28"/>
                <w:szCs w:val="28"/>
                <w:highlight w:val="yellow"/>
                <w14:textFill>
                  <w14:solidFill>
                    <w14:schemeClr w14:val="tx1"/>
                  </w14:solidFill>
                </w14:textFill>
              </w:rPr>
            </w:pPr>
          </w:p>
        </w:tc>
      </w:tr>
      <w:tr w14:paraId="6FB92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2" w:hRule="exact"/>
          <w:jc w:val="center"/>
        </w:trPr>
        <w:tc>
          <w:tcPr>
            <w:tcW w:w="4427" w:type="dxa"/>
            <w:gridSpan w:val="3"/>
            <w:vAlign w:val="center"/>
          </w:tcPr>
          <w:p w14:paraId="7DD557F7">
            <w:pPr>
              <w:pageBreakBefore w:val="0"/>
              <w:kinsoku/>
              <w:wordWrap/>
              <w:overflowPunct/>
              <w:bidi w:val="0"/>
              <w:adjustRightInd w:val="0"/>
              <w:snapToGrid w:val="0"/>
              <w:spacing w:after="120" w:line="560" w:lineRule="exact"/>
              <w:jc w:val="center"/>
              <w:rPr>
                <w:rFonts w:hint="default" w:ascii="Times New Roman" w:hAnsi="Times New Roman" w:eastAsia="仿宋" w:cs="Times New Roman"/>
                <w:b/>
                <w:color w:val="000000" w:themeColor="text1"/>
                <w:sz w:val="28"/>
                <w:szCs w:val="28"/>
                <w:u w:val="single"/>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合  计</w:t>
            </w:r>
          </w:p>
        </w:tc>
        <w:tc>
          <w:tcPr>
            <w:tcW w:w="1711" w:type="dxa"/>
            <w:vAlign w:val="center"/>
          </w:tcPr>
          <w:p w14:paraId="7C9CA72C">
            <w:pPr>
              <w:keepNext/>
              <w:keepLines/>
              <w:pageBreakBefore w:val="0"/>
              <w:kinsoku/>
              <w:wordWrap/>
              <w:overflowPunct/>
              <w:bidi w:val="0"/>
              <w:spacing w:before="340" w:after="330" w:line="560" w:lineRule="exact"/>
              <w:jc w:val="center"/>
              <w:outlineLvl w:val="0"/>
              <w:rPr>
                <w:rFonts w:hint="default" w:ascii="Times New Roman" w:hAnsi="Times New Roman" w:eastAsia="仿宋" w:cs="Times New Roman"/>
                <w:color w:val="000000" w:themeColor="text1"/>
                <w:sz w:val="28"/>
                <w:szCs w:val="28"/>
                <w14:textFill>
                  <w14:solidFill>
                    <w14:schemeClr w14:val="tx1"/>
                  </w14:solidFill>
                </w14:textFill>
              </w:rPr>
            </w:pPr>
          </w:p>
        </w:tc>
        <w:tc>
          <w:tcPr>
            <w:tcW w:w="2204" w:type="dxa"/>
            <w:vAlign w:val="center"/>
          </w:tcPr>
          <w:p w14:paraId="20C63A59">
            <w:pPr>
              <w:pageBreakBefore w:val="0"/>
              <w:kinsoku/>
              <w:wordWrap/>
              <w:overflowPunct/>
              <w:bidi w:val="0"/>
              <w:adjustRightInd w:val="0"/>
              <w:snapToGrid w:val="0"/>
              <w:spacing w:after="120"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r w14:paraId="505D6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0" w:hRule="exact"/>
          <w:jc w:val="center"/>
        </w:trPr>
        <w:tc>
          <w:tcPr>
            <w:tcW w:w="4427" w:type="dxa"/>
            <w:gridSpan w:val="3"/>
            <w:vAlign w:val="center"/>
          </w:tcPr>
          <w:p w14:paraId="2D77CE56">
            <w:pPr>
              <w:pageBreakBefore w:val="0"/>
              <w:kinsoku/>
              <w:wordWrap/>
              <w:overflowPunct/>
              <w:bidi w:val="0"/>
              <w:adjustRightInd w:val="0"/>
              <w:snapToGrid w:val="0"/>
              <w:spacing w:after="120" w:line="560" w:lineRule="exact"/>
              <w:jc w:val="center"/>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总投标（单位：人民币元）</w:t>
            </w:r>
          </w:p>
        </w:tc>
        <w:tc>
          <w:tcPr>
            <w:tcW w:w="3915" w:type="dxa"/>
            <w:gridSpan w:val="2"/>
            <w:vAlign w:val="center"/>
          </w:tcPr>
          <w:p w14:paraId="68337D80">
            <w:pPr>
              <w:pStyle w:val="11"/>
              <w:pageBreakBefore w:val="0"/>
              <w:kinsoku/>
              <w:wordWrap/>
              <w:overflowPunct/>
              <w:bidi w:val="0"/>
              <w:adjustRightInd w:val="0"/>
              <w:snapToGrid w:val="0"/>
              <w:spacing w:after="156" w:afterLines="50"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大写：</w:t>
            </w:r>
          </w:p>
          <w:p w14:paraId="1A62838D">
            <w:pPr>
              <w:keepNext/>
              <w:keepLines/>
              <w:pageBreakBefore w:val="0"/>
              <w:kinsoku/>
              <w:wordWrap/>
              <w:overflowPunct/>
              <w:bidi w:val="0"/>
              <w:adjustRightInd w:val="0"/>
              <w:snapToGrid w:val="0"/>
              <w:spacing w:before="260" w:after="260" w:line="560" w:lineRule="exact"/>
              <w:jc w:val="left"/>
              <w:outlineLvl w:val="2"/>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小写：</w:t>
            </w:r>
          </w:p>
        </w:tc>
      </w:tr>
    </w:tbl>
    <w:p w14:paraId="2A8C489D">
      <w:pPr>
        <w:pageBreakBefore w:val="0"/>
        <w:kinsoku/>
        <w:wordWrap/>
        <w:overflowPunct/>
        <w:bidi w:val="0"/>
        <w:adjustRightInd w:val="0"/>
        <w:snapToGrid w:val="0"/>
        <w:spacing w:line="560" w:lineRule="exact"/>
        <w:ind w:firstLine="280" w:firstLineChars="10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注：1.该投标金额保留小数点后两位，第三位四舍五入，若大小写不一致时，以大写为准。</w:t>
      </w:r>
    </w:p>
    <w:p w14:paraId="62CA8B92">
      <w:pPr>
        <w:pStyle w:val="23"/>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 xml:space="preserve">     </w:t>
      </w:r>
    </w:p>
    <w:p w14:paraId="0F594665">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lang w:val="zh-CN"/>
          <w14:textFill>
            <w14:solidFill>
              <w14:schemeClr w14:val="tx1"/>
            </w14:solidFill>
          </w14:textFill>
        </w:rPr>
      </w:pPr>
    </w:p>
    <w:p w14:paraId="6EEE48CF">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lang w:val="zh-CN"/>
          <w14:textFill>
            <w14:solidFill>
              <w14:schemeClr w14:val="tx1"/>
            </w14:solidFill>
          </w14:textFill>
        </w:rPr>
      </w:pPr>
    </w:p>
    <w:p w14:paraId="466C2F46">
      <w:pPr>
        <w:pageBreakBefore w:val="0"/>
        <w:tabs>
          <w:tab w:val="left" w:pos="13320"/>
        </w:tabs>
        <w:kinsoku/>
        <w:wordWrap/>
        <w:overflowPunct/>
        <w:bidi w:val="0"/>
        <w:snapToGrid w:val="0"/>
        <w:spacing w:line="560" w:lineRule="exact"/>
        <w:ind w:left="718" w:leftChars="342" w:right="-52" w:firstLine="3351" w:firstLineChars="1197"/>
        <w:rPr>
          <w:rFonts w:hint="default" w:ascii="Times New Roman" w:hAnsi="Times New Roman" w:eastAsia="仿宋" w:cs="Times New Roman"/>
          <w:color w:val="000000" w:themeColor="text1"/>
          <w:sz w:val="28"/>
          <w:szCs w:val="28"/>
          <w:u w:val="single"/>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投标人（公章）：</w:t>
      </w:r>
      <w:r>
        <w:rPr>
          <w:rFonts w:hint="default" w:ascii="Times New Roman" w:hAnsi="Times New Roman" w:eastAsia="仿宋" w:cs="Times New Roman"/>
          <w:color w:val="000000" w:themeColor="text1"/>
          <w:sz w:val="28"/>
          <w:szCs w:val="28"/>
          <w:u w:val="single"/>
          <w14:textFill>
            <w14:solidFill>
              <w14:schemeClr w14:val="tx1"/>
            </w14:solidFill>
          </w14:textFill>
        </w:rPr>
        <w:t xml:space="preserve">                        </w:t>
      </w:r>
    </w:p>
    <w:p w14:paraId="3F5E76DB">
      <w:pPr>
        <w:pageBreakBefore w:val="0"/>
        <w:tabs>
          <w:tab w:val="left" w:pos="13320"/>
        </w:tabs>
        <w:kinsoku/>
        <w:wordWrap/>
        <w:overflowPunct/>
        <w:bidi w:val="0"/>
        <w:snapToGrid w:val="0"/>
        <w:spacing w:line="560" w:lineRule="exact"/>
        <w:ind w:left="718" w:leftChars="342" w:right="-52" w:firstLine="3351" w:firstLineChars="1197"/>
        <w:rPr>
          <w:rFonts w:hint="default" w:ascii="Times New Roman" w:hAnsi="Times New Roman" w:eastAsia="仿宋" w:cs="Times New Roman"/>
          <w:color w:val="000000" w:themeColor="text1"/>
          <w:sz w:val="28"/>
          <w:szCs w:val="28"/>
          <w:u w:val="single"/>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法定代表人或授权代表（签字或盖章）：</w:t>
      </w:r>
      <w:r>
        <w:rPr>
          <w:rFonts w:hint="default" w:ascii="Times New Roman" w:hAnsi="Times New Roman" w:eastAsia="仿宋" w:cs="Times New Roman"/>
          <w:color w:val="000000" w:themeColor="text1"/>
          <w:sz w:val="28"/>
          <w:szCs w:val="28"/>
          <w:u w:val="single"/>
          <w14:textFill>
            <w14:solidFill>
              <w14:schemeClr w14:val="tx1"/>
            </w14:solidFill>
          </w14:textFill>
        </w:rPr>
        <w:t xml:space="preserve">        </w:t>
      </w:r>
    </w:p>
    <w:p w14:paraId="26029503">
      <w:pPr>
        <w:pStyle w:val="7"/>
        <w:pageBreakBefore w:val="0"/>
        <w:kinsoku/>
        <w:wordWrap/>
        <w:overflowPunct/>
        <w:bidi w:val="0"/>
        <w:adjustRightInd w:val="0"/>
        <w:snapToGrid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sectPr>
          <w:pgSz w:w="11906" w:h="16838"/>
          <w:pgMar w:top="1134" w:right="1134" w:bottom="1134" w:left="1134" w:header="851" w:footer="992" w:gutter="0"/>
          <w:cols w:space="720" w:num="1"/>
          <w:docGrid w:type="lines" w:linePitch="312" w:charSpace="0"/>
        </w:sectPr>
      </w:pPr>
      <w:r>
        <w:rPr>
          <w:rFonts w:hint="default" w:ascii="Times New Roman" w:hAnsi="Times New Roman" w:eastAsia="仿宋" w:cs="Times New Roman"/>
          <w:color w:val="000000" w:themeColor="text1"/>
          <w:sz w:val="28"/>
          <w:szCs w:val="28"/>
          <w14:textFill>
            <w14:solidFill>
              <w14:schemeClr w14:val="tx1"/>
            </w14:solidFill>
          </w14:textFill>
        </w:rPr>
        <w:t xml:space="preserve">         日期：_____年______月______日</w:t>
      </w:r>
    </w:p>
    <w:p w14:paraId="4C1B6BAE">
      <w:pPr>
        <w:pageBreakBefore w:val="0"/>
        <w:widowControl/>
        <w:shd w:val="clear" w:color="auto" w:fill="FFFFFF"/>
        <w:kinsoku/>
        <w:wordWrap/>
        <w:overflowPunct/>
        <w:bidi w:val="0"/>
        <w:spacing w:before="150" w:after="150"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附件三</w:t>
      </w:r>
    </w:p>
    <w:p w14:paraId="52FED903">
      <w:pPr>
        <w:pStyle w:val="7"/>
        <w:pageBreakBefore w:val="0"/>
        <w:kinsoku/>
        <w:wordWrap/>
        <w:overflowPunct/>
        <w:bidi w:val="0"/>
        <w:adjustRightInd w:val="0"/>
        <w:snapToGrid w:val="0"/>
        <w:spacing w:line="560" w:lineRule="exact"/>
        <w:jc w:val="center"/>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业绩</w:t>
      </w:r>
      <w:r>
        <w:rPr>
          <w:rFonts w:hint="default" w:ascii="Times New Roman" w:hAnsi="Times New Roman" w:eastAsia="仿宋" w:cs="Times New Roman"/>
          <w:b/>
          <w:color w:val="000000" w:themeColor="text1"/>
          <w:sz w:val="28"/>
          <w:szCs w:val="28"/>
          <w14:textFill>
            <w14:solidFill>
              <w14:schemeClr w14:val="tx1"/>
            </w14:solidFill>
          </w14:textFill>
        </w:rPr>
        <w:t>情况汇总表</w:t>
      </w:r>
    </w:p>
    <w:p w14:paraId="15D82A06">
      <w:pPr>
        <w:pStyle w:val="7"/>
        <w:pageBreakBefore w:val="0"/>
        <w:kinsoku/>
        <w:wordWrap/>
        <w:overflowPunct/>
        <w:bidi w:val="0"/>
        <w:adjustRightInd w:val="0"/>
        <w:snapToGrid w:val="0"/>
        <w:spacing w:line="560" w:lineRule="exact"/>
        <w:jc w:val="center"/>
        <w:rPr>
          <w:rFonts w:hint="default" w:ascii="Times New Roman" w:hAnsi="Times New Roman" w:eastAsia="仿宋" w:cs="Times New Roman"/>
          <w:b/>
          <w:color w:val="000000" w:themeColor="text1"/>
          <w:sz w:val="28"/>
          <w:szCs w:val="28"/>
          <w14:textFill>
            <w14:solidFill>
              <w14:schemeClr w14:val="tx1"/>
            </w14:solidFill>
          </w14:textFill>
        </w:rPr>
      </w:pPr>
    </w:p>
    <w:p w14:paraId="20D0EB2B">
      <w:pPr>
        <w:pStyle w:val="26"/>
        <w:pageBreakBefore w:val="0"/>
        <w:kinsoku/>
        <w:wordWrap/>
        <w:overflowPunct/>
        <w:bidi w:val="0"/>
        <w:spacing w:line="560" w:lineRule="exact"/>
        <w:ind w:firstLine="0" w:firstLineChars="0"/>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项目名称：</w:t>
      </w:r>
      <w:r>
        <w:rPr>
          <w:rFonts w:hint="default" w:ascii="Times New Roman" w:hAnsi="Times New Roman" w:eastAsia="仿宋" w:cs="Times New Roman"/>
          <w:bCs/>
          <w:color w:val="000000" w:themeColor="text1"/>
          <w:sz w:val="28"/>
          <w:szCs w:val="28"/>
          <w:u w:val="single"/>
          <w14:textFill>
            <w14:solidFill>
              <w14:schemeClr w14:val="tx1"/>
            </w14:solidFill>
          </w14:textFill>
        </w:rPr>
        <w:t>成都市温江区城市道路桥梁管护中心2026-2027年度公众责任险服务</w:t>
      </w:r>
    </w:p>
    <w:tbl>
      <w:tblPr>
        <w:tblStyle w:val="1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304"/>
        <w:gridCol w:w="1247"/>
        <w:gridCol w:w="1692"/>
        <w:gridCol w:w="2135"/>
        <w:gridCol w:w="1616"/>
      </w:tblGrid>
      <w:tr w14:paraId="6C87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34" w:type="dxa"/>
            <w:vAlign w:val="center"/>
          </w:tcPr>
          <w:p w14:paraId="09DA92F0">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序号</w:t>
            </w:r>
          </w:p>
        </w:tc>
        <w:tc>
          <w:tcPr>
            <w:tcW w:w="1304" w:type="dxa"/>
            <w:vAlign w:val="center"/>
          </w:tcPr>
          <w:p w14:paraId="2143AB26">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项目名称</w:t>
            </w:r>
          </w:p>
        </w:tc>
        <w:tc>
          <w:tcPr>
            <w:tcW w:w="1247" w:type="dxa"/>
            <w:vAlign w:val="center"/>
          </w:tcPr>
          <w:p w14:paraId="3C099FDB">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项目业主</w:t>
            </w:r>
          </w:p>
        </w:tc>
        <w:tc>
          <w:tcPr>
            <w:tcW w:w="1692" w:type="dxa"/>
            <w:vAlign w:val="center"/>
          </w:tcPr>
          <w:p w14:paraId="5846603C">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保单金额\合同价（万元）</w:t>
            </w:r>
          </w:p>
        </w:tc>
        <w:tc>
          <w:tcPr>
            <w:tcW w:w="2135" w:type="dxa"/>
            <w:vAlign w:val="center"/>
          </w:tcPr>
          <w:p w14:paraId="1EE6C92C">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类型</w:t>
            </w:r>
          </w:p>
        </w:tc>
        <w:tc>
          <w:tcPr>
            <w:tcW w:w="1616" w:type="dxa"/>
            <w:vAlign w:val="center"/>
          </w:tcPr>
          <w:p w14:paraId="16C05BA1">
            <w:pPr>
              <w:pageBreakBefore w:val="0"/>
              <w:kinsoku/>
              <w:wordWrap/>
              <w:overflowPunct/>
              <w:bidi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备注</w:t>
            </w:r>
          </w:p>
        </w:tc>
      </w:tr>
      <w:tr w14:paraId="02C5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34" w:type="dxa"/>
            <w:vAlign w:val="center"/>
          </w:tcPr>
          <w:p w14:paraId="3340793B">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304" w:type="dxa"/>
            <w:vAlign w:val="center"/>
          </w:tcPr>
          <w:p w14:paraId="4B77AC44">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247" w:type="dxa"/>
            <w:vAlign w:val="center"/>
          </w:tcPr>
          <w:p w14:paraId="491892C1">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692" w:type="dxa"/>
            <w:vAlign w:val="center"/>
          </w:tcPr>
          <w:p w14:paraId="4EC2DF16">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2135" w:type="dxa"/>
            <w:vAlign w:val="center"/>
          </w:tcPr>
          <w:p w14:paraId="24F53B31">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616" w:type="dxa"/>
            <w:vAlign w:val="center"/>
          </w:tcPr>
          <w:p w14:paraId="6EEC855D">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r>
      <w:tr w14:paraId="525F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34" w:type="dxa"/>
            <w:vAlign w:val="center"/>
          </w:tcPr>
          <w:p w14:paraId="62753196">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304" w:type="dxa"/>
            <w:vAlign w:val="center"/>
          </w:tcPr>
          <w:p w14:paraId="44FC34BD">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247" w:type="dxa"/>
            <w:vAlign w:val="center"/>
          </w:tcPr>
          <w:p w14:paraId="1A802110">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692" w:type="dxa"/>
            <w:vAlign w:val="center"/>
          </w:tcPr>
          <w:p w14:paraId="40811397">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2135" w:type="dxa"/>
            <w:vAlign w:val="center"/>
          </w:tcPr>
          <w:p w14:paraId="32D96B36">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616" w:type="dxa"/>
            <w:vAlign w:val="center"/>
          </w:tcPr>
          <w:p w14:paraId="59F2CAE9">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r>
      <w:tr w14:paraId="7878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34" w:type="dxa"/>
            <w:vAlign w:val="center"/>
          </w:tcPr>
          <w:p w14:paraId="2950FDD4">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304" w:type="dxa"/>
            <w:vAlign w:val="center"/>
          </w:tcPr>
          <w:p w14:paraId="232686E2">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247" w:type="dxa"/>
            <w:vAlign w:val="center"/>
          </w:tcPr>
          <w:p w14:paraId="18114FEA">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692" w:type="dxa"/>
            <w:vAlign w:val="center"/>
          </w:tcPr>
          <w:p w14:paraId="6B33863E">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2135" w:type="dxa"/>
            <w:vAlign w:val="center"/>
          </w:tcPr>
          <w:p w14:paraId="32B1E83E">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c>
          <w:tcPr>
            <w:tcW w:w="1616" w:type="dxa"/>
            <w:vAlign w:val="center"/>
          </w:tcPr>
          <w:p w14:paraId="6E2765C4">
            <w:pPr>
              <w:pageBreakBefore w:val="0"/>
              <w:kinsoku/>
              <w:wordWrap/>
              <w:overflowPunct/>
              <w:bidi w:val="0"/>
              <w:spacing w:line="560" w:lineRule="exact"/>
              <w:jc w:val="center"/>
              <w:rPr>
                <w:rFonts w:hint="default" w:ascii="Times New Roman" w:hAnsi="Times New Roman" w:eastAsia="仿宋" w:cs="Times New Roman"/>
                <w:bCs/>
                <w:color w:val="000000" w:themeColor="text1"/>
                <w:sz w:val="28"/>
                <w:szCs w:val="28"/>
                <w14:textFill>
                  <w14:solidFill>
                    <w14:schemeClr w14:val="tx1"/>
                  </w14:solidFill>
                </w14:textFill>
              </w:rPr>
            </w:pPr>
          </w:p>
        </w:tc>
      </w:tr>
    </w:tbl>
    <w:p w14:paraId="2FF7E4AB">
      <w:pPr>
        <w:pageBreakBefore w:val="0"/>
        <w:kinsoku/>
        <w:wordWrap/>
        <w:overflowPunct/>
        <w:bidi w:val="0"/>
        <w:adjustRightInd w:val="0"/>
        <w:snapToGrid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注：</w:t>
      </w:r>
      <w:r>
        <w:rPr>
          <w:rFonts w:hint="default" w:ascii="Times New Roman" w:hAnsi="Times New Roman" w:eastAsia="仿宋" w:cs="Times New Roman"/>
          <w:color w:val="000000" w:themeColor="text1"/>
          <w:sz w:val="28"/>
          <w:szCs w:val="28"/>
          <w14:textFill>
            <w14:solidFill>
              <w14:schemeClr w14:val="tx1"/>
            </w14:solidFill>
          </w14:textFill>
        </w:rPr>
        <w:t>本表后应按要求附业绩证明材料（需提供项目保单或合同复印件）。</w:t>
      </w:r>
    </w:p>
    <w:p w14:paraId="540C2F63">
      <w:pPr>
        <w:pageBreakBefore w:val="0"/>
        <w:tabs>
          <w:tab w:val="left" w:pos="13320"/>
        </w:tabs>
        <w:kinsoku/>
        <w:wordWrap/>
        <w:overflowPunct/>
        <w:bidi w:val="0"/>
        <w:snapToGrid w:val="0"/>
        <w:spacing w:line="560" w:lineRule="exact"/>
        <w:ind w:left="718" w:leftChars="342" w:right="-52" w:firstLine="2797" w:firstLineChars="999"/>
        <w:rPr>
          <w:rFonts w:hint="default" w:ascii="Times New Roman" w:hAnsi="Times New Roman" w:eastAsia="仿宋" w:cs="Times New Roman"/>
          <w:color w:val="000000" w:themeColor="text1"/>
          <w:sz w:val="28"/>
          <w:szCs w:val="28"/>
          <w14:textFill>
            <w14:solidFill>
              <w14:schemeClr w14:val="tx1"/>
            </w14:solidFill>
          </w14:textFill>
        </w:rPr>
      </w:pPr>
    </w:p>
    <w:p w14:paraId="7282DCCD">
      <w:pPr>
        <w:pageBreakBefore w:val="0"/>
        <w:tabs>
          <w:tab w:val="left" w:pos="13320"/>
        </w:tabs>
        <w:kinsoku/>
        <w:wordWrap/>
        <w:overflowPunct/>
        <w:bidi w:val="0"/>
        <w:snapToGrid w:val="0"/>
        <w:spacing w:line="560" w:lineRule="exact"/>
        <w:ind w:left="718" w:leftChars="342" w:right="-52" w:firstLine="2797" w:firstLineChars="999"/>
        <w:rPr>
          <w:rFonts w:hint="default" w:ascii="Times New Roman" w:hAnsi="Times New Roman" w:eastAsia="仿宋" w:cs="Times New Roman"/>
          <w:color w:val="000000" w:themeColor="text1"/>
          <w:sz w:val="28"/>
          <w:szCs w:val="28"/>
          <w14:textFill>
            <w14:solidFill>
              <w14:schemeClr w14:val="tx1"/>
            </w14:solidFill>
          </w14:textFill>
        </w:rPr>
      </w:pPr>
    </w:p>
    <w:p w14:paraId="215D9DA2">
      <w:pPr>
        <w:pageBreakBefore w:val="0"/>
        <w:tabs>
          <w:tab w:val="left" w:pos="13320"/>
        </w:tabs>
        <w:kinsoku/>
        <w:wordWrap/>
        <w:overflowPunct/>
        <w:bidi w:val="0"/>
        <w:snapToGrid w:val="0"/>
        <w:spacing w:line="560" w:lineRule="exact"/>
        <w:ind w:left="718" w:leftChars="342" w:right="-52" w:firstLine="2797" w:firstLineChars="999"/>
        <w:rPr>
          <w:rFonts w:hint="default" w:ascii="Times New Roman" w:hAnsi="Times New Roman" w:eastAsia="仿宋" w:cs="Times New Roman"/>
          <w:color w:val="000000" w:themeColor="text1"/>
          <w:sz w:val="28"/>
          <w:szCs w:val="28"/>
          <w14:textFill>
            <w14:solidFill>
              <w14:schemeClr w14:val="tx1"/>
            </w14:solidFill>
          </w14:textFill>
        </w:rPr>
      </w:pPr>
    </w:p>
    <w:p w14:paraId="1F751EC1">
      <w:pPr>
        <w:pageBreakBefore w:val="0"/>
        <w:tabs>
          <w:tab w:val="left" w:pos="13320"/>
        </w:tabs>
        <w:kinsoku/>
        <w:wordWrap/>
        <w:overflowPunct/>
        <w:bidi w:val="0"/>
        <w:snapToGrid w:val="0"/>
        <w:spacing w:line="560" w:lineRule="exact"/>
        <w:ind w:left="718" w:leftChars="342" w:right="-52" w:firstLine="2797" w:firstLineChars="999"/>
        <w:rPr>
          <w:rFonts w:hint="default" w:ascii="Times New Roman" w:hAnsi="Times New Roman" w:eastAsia="仿宋" w:cs="Times New Roman"/>
          <w:color w:val="000000" w:themeColor="text1"/>
          <w:sz w:val="28"/>
          <w:szCs w:val="28"/>
          <w:u w:val="single"/>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投标人（法人公章）：</w:t>
      </w:r>
      <w:r>
        <w:rPr>
          <w:rFonts w:hint="default" w:ascii="Times New Roman" w:hAnsi="Times New Roman" w:eastAsia="仿宋" w:cs="Times New Roman"/>
          <w:color w:val="000000" w:themeColor="text1"/>
          <w:sz w:val="28"/>
          <w:szCs w:val="28"/>
          <w:u w:val="single"/>
          <w14:textFill>
            <w14:solidFill>
              <w14:schemeClr w14:val="tx1"/>
            </w14:solidFill>
          </w14:textFill>
        </w:rPr>
        <w:t xml:space="preserve">                        </w:t>
      </w:r>
    </w:p>
    <w:p w14:paraId="6B298FDA">
      <w:pPr>
        <w:pageBreakBefore w:val="0"/>
        <w:tabs>
          <w:tab w:val="left" w:pos="13320"/>
        </w:tabs>
        <w:kinsoku/>
        <w:wordWrap/>
        <w:overflowPunct/>
        <w:bidi w:val="0"/>
        <w:snapToGrid w:val="0"/>
        <w:spacing w:line="560" w:lineRule="exact"/>
        <w:ind w:left="718" w:leftChars="342" w:right="-52" w:firstLine="2797" w:firstLineChars="999"/>
        <w:rPr>
          <w:rFonts w:hint="default" w:ascii="Times New Roman" w:hAnsi="Times New Roman" w:eastAsia="仿宋" w:cs="Times New Roman"/>
          <w:color w:val="000000" w:themeColor="text1"/>
          <w:sz w:val="28"/>
          <w:szCs w:val="28"/>
          <w:u w:val="single"/>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法定代表人或授权代表（签字或盖章）：</w:t>
      </w:r>
      <w:r>
        <w:rPr>
          <w:rFonts w:hint="default" w:ascii="Times New Roman" w:hAnsi="Times New Roman" w:eastAsia="仿宋" w:cs="Times New Roman"/>
          <w:color w:val="000000" w:themeColor="text1"/>
          <w:sz w:val="28"/>
          <w:szCs w:val="28"/>
          <w:u w:val="single"/>
          <w14:textFill>
            <w14:solidFill>
              <w14:schemeClr w14:val="tx1"/>
            </w14:solidFill>
          </w14:textFill>
        </w:rPr>
        <w:t xml:space="preserve">        </w:t>
      </w:r>
    </w:p>
    <w:p w14:paraId="348091D0">
      <w:pPr>
        <w:pageBreakBefore w:val="0"/>
        <w:widowControl/>
        <w:kinsoku/>
        <w:wordWrap/>
        <w:overflowPunct/>
        <w:bidi w:val="0"/>
        <w:spacing w:line="560" w:lineRule="exact"/>
        <w:jc w:val="left"/>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t xml:space="preserve">                          日期：_____年______月______日</w:t>
      </w:r>
    </w:p>
    <w:p w14:paraId="43669687">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lang w:val="zh-CN"/>
          <w14:textFill>
            <w14:solidFill>
              <w14:schemeClr w14:val="tx1"/>
            </w14:solidFill>
          </w14:textFill>
        </w:rPr>
      </w:pPr>
    </w:p>
    <w:p w14:paraId="51A99B33">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lang w:val="zh-CN"/>
          <w14:textFill>
            <w14:solidFill>
              <w14:schemeClr w14:val="tx1"/>
            </w14:solidFill>
          </w14:textFill>
        </w:rPr>
      </w:pPr>
    </w:p>
    <w:p w14:paraId="588BB5BD">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bCs/>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附件四</w:t>
      </w:r>
    </w:p>
    <w:p w14:paraId="02C7EF87">
      <w:pPr>
        <w:pStyle w:val="7"/>
        <w:pageBreakBefore w:val="0"/>
        <w:kinsoku/>
        <w:wordWrap/>
        <w:overflowPunct/>
        <w:bidi w:val="0"/>
        <w:adjustRightInd w:val="0"/>
        <w:snapToGrid w:val="0"/>
        <w:spacing w:line="560" w:lineRule="exact"/>
        <w:jc w:val="center"/>
        <w:rPr>
          <w:rFonts w:hint="default" w:ascii="Times New Roman" w:hAnsi="Times New Roman" w:eastAsia="仿宋" w:cs="Times New Roman"/>
          <w:b/>
          <w:color w:val="000000" w:themeColor="text1"/>
          <w:sz w:val="28"/>
          <w:szCs w:val="28"/>
          <w14:textFill>
            <w14:solidFill>
              <w14:schemeClr w14:val="tx1"/>
            </w14:solidFill>
          </w14:textFill>
        </w:rPr>
      </w:pPr>
      <w:r>
        <w:rPr>
          <w:rFonts w:hint="default" w:ascii="Times New Roman" w:hAnsi="Times New Roman" w:eastAsia="仿宋" w:cs="Times New Roman"/>
          <w:b/>
          <w:color w:val="000000" w:themeColor="text1"/>
          <w:sz w:val="28"/>
          <w:szCs w:val="28"/>
          <w14:textFill>
            <w14:solidFill>
              <w14:schemeClr w14:val="tx1"/>
            </w14:solidFill>
          </w14:textFill>
        </w:rPr>
        <w:t>人员配备情况表（可参照格式修改）</w:t>
      </w:r>
    </w:p>
    <w:p w14:paraId="4B3CB5AE">
      <w:pPr>
        <w:pStyle w:val="26"/>
        <w:pageBreakBefore w:val="0"/>
        <w:kinsoku/>
        <w:wordWrap/>
        <w:overflowPunct/>
        <w:bidi w:val="0"/>
        <w:spacing w:line="560" w:lineRule="exact"/>
        <w:ind w:firstLine="0" w:firstLineChars="0"/>
        <w:jc w:val="left"/>
        <w:rPr>
          <w:rFonts w:hint="default" w:ascii="Times New Roman" w:hAnsi="Times New Roman" w:eastAsia="仿宋"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 w:cs="Times New Roman"/>
          <w:bCs/>
          <w:color w:val="000000" w:themeColor="text1"/>
          <w:sz w:val="28"/>
          <w:szCs w:val="28"/>
          <w14:textFill>
            <w14:solidFill>
              <w14:schemeClr w14:val="tx1"/>
            </w14:solidFill>
          </w14:textFill>
        </w:rPr>
        <w:t>项目名称：</w:t>
      </w:r>
      <w:r>
        <w:rPr>
          <w:rFonts w:hint="default" w:ascii="Times New Roman" w:hAnsi="Times New Roman" w:eastAsia="仿宋" w:cs="Times New Roman"/>
          <w:bCs/>
          <w:color w:val="000000" w:themeColor="text1"/>
          <w:sz w:val="28"/>
          <w:szCs w:val="28"/>
          <w:u w:val="single"/>
          <w14:textFill>
            <w14:solidFill>
              <w14:schemeClr w14:val="tx1"/>
            </w14:solidFill>
          </w14:textFill>
        </w:rPr>
        <w:t>成都市温江区城市道路桥梁管护中心2026-2027年度公众责任险服务</w:t>
      </w:r>
    </w:p>
    <w:tbl>
      <w:tblPr>
        <w:tblStyle w:val="15"/>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518"/>
        <w:gridCol w:w="1620"/>
        <w:gridCol w:w="1424"/>
        <w:gridCol w:w="1399"/>
        <w:gridCol w:w="2269"/>
      </w:tblGrid>
      <w:tr w14:paraId="0CB7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7312B16C">
            <w:pPr>
              <w:pageBreakBefore w:val="0"/>
              <w:kinsoku/>
              <w:wordWrap/>
              <w:overflowPunct/>
              <w:autoSpaceDE w:val="0"/>
              <w:autoSpaceDN w:val="0"/>
              <w:bidi w:val="0"/>
              <w:adjustRightInd w:val="0"/>
              <w:spacing w:line="560" w:lineRule="exact"/>
              <w:jc w:val="center"/>
              <w:rPr>
                <w:rFonts w:hint="default" w:ascii="Times New Roman" w:hAnsi="Times New Roman" w:eastAsia="仿宋" w:cs="Times New Roman"/>
                <w:b/>
                <w:bCs/>
                <w:color w:val="000000" w:themeColor="text1"/>
                <w:kern w:val="0"/>
                <w:sz w:val="28"/>
                <w:szCs w:val="28"/>
                <w14:textFill>
                  <w14:solidFill>
                    <w14:schemeClr w14:val="tx1"/>
                  </w14:solidFill>
                </w14:textFill>
              </w:rPr>
            </w:pPr>
            <w:r>
              <w:rPr>
                <w:rFonts w:hint="default" w:ascii="Times New Roman" w:hAnsi="Times New Roman" w:eastAsia="仿宋" w:cs="Times New Roman"/>
                <w:b/>
                <w:bCs/>
                <w:color w:val="000000" w:themeColor="text1"/>
                <w:kern w:val="0"/>
                <w:sz w:val="28"/>
                <w:szCs w:val="28"/>
                <w14:textFill>
                  <w14:solidFill>
                    <w14:schemeClr w14:val="tx1"/>
                  </w14:solidFill>
                </w14:textFill>
              </w:rPr>
              <w:t>序号</w:t>
            </w:r>
          </w:p>
        </w:tc>
        <w:tc>
          <w:tcPr>
            <w:tcW w:w="1518" w:type="dxa"/>
            <w:tcBorders>
              <w:top w:val="single" w:color="auto" w:sz="4" w:space="0"/>
              <w:left w:val="single" w:color="auto" w:sz="4" w:space="0"/>
              <w:bottom w:val="single" w:color="auto" w:sz="4" w:space="0"/>
              <w:right w:val="single" w:color="auto" w:sz="4" w:space="0"/>
            </w:tcBorders>
            <w:vAlign w:val="center"/>
          </w:tcPr>
          <w:p w14:paraId="2F2D6B94">
            <w:pPr>
              <w:pageBreakBefore w:val="0"/>
              <w:kinsoku/>
              <w:wordWrap/>
              <w:overflowPunct/>
              <w:autoSpaceDE w:val="0"/>
              <w:autoSpaceDN w:val="0"/>
              <w:bidi w:val="0"/>
              <w:adjustRightInd w:val="0"/>
              <w:spacing w:line="560" w:lineRule="exact"/>
              <w:jc w:val="center"/>
              <w:rPr>
                <w:rFonts w:hint="default" w:ascii="Times New Roman" w:hAnsi="Times New Roman" w:eastAsia="仿宋" w:cs="Times New Roman"/>
                <w:b/>
                <w:bCs/>
                <w:color w:val="000000" w:themeColor="text1"/>
                <w:kern w:val="0"/>
                <w:sz w:val="28"/>
                <w:szCs w:val="28"/>
                <w14:textFill>
                  <w14:solidFill>
                    <w14:schemeClr w14:val="tx1"/>
                  </w14:solidFill>
                </w14:textFill>
              </w:rPr>
            </w:pPr>
            <w:r>
              <w:rPr>
                <w:rFonts w:hint="default" w:ascii="Times New Roman" w:hAnsi="Times New Roman" w:eastAsia="仿宋" w:cs="Times New Roman"/>
                <w:b/>
                <w:bCs/>
                <w:color w:val="000000" w:themeColor="text1"/>
                <w:kern w:val="0"/>
                <w:sz w:val="28"/>
                <w:szCs w:val="28"/>
                <w14:textFill>
                  <w14:solidFill>
                    <w14:schemeClr w14:val="tx1"/>
                  </w14:solidFill>
                </w14:textFill>
              </w:rPr>
              <w:t>职责</w:t>
            </w:r>
          </w:p>
          <w:p w14:paraId="7C84E39B">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kern w:val="0"/>
                <w:sz w:val="28"/>
                <w:szCs w:val="28"/>
                <w14:textFill>
                  <w14:solidFill>
                    <w14:schemeClr w14:val="tx1"/>
                  </w14:solidFill>
                </w14:textFill>
              </w:rPr>
              <w:t>分工</w:t>
            </w:r>
          </w:p>
        </w:tc>
        <w:tc>
          <w:tcPr>
            <w:tcW w:w="1620" w:type="dxa"/>
            <w:tcBorders>
              <w:top w:val="single" w:color="auto" w:sz="4" w:space="0"/>
              <w:left w:val="single" w:color="auto" w:sz="4" w:space="0"/>
              <w:bottom w:val="single" w:color="auto" w:sz="4" w:space="0"/>
              <w:right w:val="single" w:color="auto" w:sz="4" w:space="0"/>
            </w:tcBorders>
            <w:vAlign w:val="center"/>
          </w:tcPr>
          <w:p w14:paraId="111C9F28">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kern w:val="0"/>
                <w:sz w:val="28"/>
                <w:szCs w:val="28"/>
                <w14:textFill>
                  <w14:solidFill>
                    <w14:schemeClr w14:val="tx1"/>
                  </w14:solidFill>
                </w14:textFill>
              </w:rPr>
              <w:t>姓名</w:t>
            </w:r>
          </w:p>
        </w:tc>
        <w:tc>
          <w:tcPr>
            <w:tcW w:w="1424" w:type="dxa"/>
            <w:tcBorders>
              <w:top w:val="single" w:color="auto" w:sz="4" w:space="0"/>
              <w:left w:val="single" w:color="auto" w:sz="4" w:space="0"/>
              <w:bottom w:val="single" w:color="auto" w:sz="4" w:space="0"/>
              <w:right w:val="single" w:color="auto" w:sz="4" w:space="0"/>
            </w:tcBorders>
            <w:vAlign w:val="center"/>
          </w:tcPr>
          <w:p w14:paraId="12128019">
            <w:pPr>
              <w:pageBreakBefore w:val="0"/>
              <w:tabs>
                <w:tab w:val="left" w:pos="1322"/>
              </w:tabs>
              <w:kinsoku/>
              <w:wordWrap/>
              <w:overflowPunct/>
              <w:bidi w:val="0"/>
              <w:spacing w:line="560" w:lineRule="exact"/>
              <w:jc w:val="center"/>
              <w:rPr>
                <w:rFonts w:hint="default" w:ascii="Times New Roman" w:hAnsi="Times New Roman" w:eastAsia="仿宋" w:cs="Times New Roman"/>
                <w:b/>
                <w:bCs/>
                <w:color w:val="000000" w:themeColor="text1"/>
                <w:kern w:val="0"/>
                <w:sz w:val="28"/>
                <w:szCs w:val="28"/>
                <w14:textFill>
                  <w14:solidFill>
                    <w14:schemeClr w14:val="tx1"/>
                  </w14:solidFill>
                </w14:textFill>
              </w:rPr>
            </w:pPr>
            <w:r>
              <w:rPr>
                <w:rFonts w:hint="default" w:ascii="Times New Roman" w:hAnsi="Times New Roman" w:eastAsia="仿宋" w:cs="Times New Roman"/>
                <w:b/>
                <w:bCs/>
                <w:color w:val="000000" w:themeColor="text1"/>
                <w:kern w:val="0"/>
                <w:sz w:val="28"/>
                <w:szCs w:val="28"/>
                <w14:textFill>
                  <w14:solidFill>
                    <w14:schemeClr w14:val="tx1"/>
                  </w14:solidFill>
                </w14:textFill>
              </w:rPr>
              <w:t>学历</w:t>
            </w:r>
          </w:p>
        </w:tc>
        <w:tc>
          <w:tcPr>
            <w:tcW w:w="1399" w:type="dxa"/>
            <w:tcBorders>
              <w:top w:val="single" w:color="auto" w:sz="4" w:space="0"/>
              <w:left w:val="single" w:color="auto" w:sz="4" w:space="0"/>
              <w:bottom w:val="single" w:color="auto" w:sz="4" w:space="0"/>
              <w:right w:val="single" w:color="auto" w:sz="4" w:space="0"/>
            </w:tcBorders>
            <w:vAlign w:val="center"/>
          </w:tcPr>
          <w:p w14:paraId="6AC90C42">
            <w:pPr>
              <w:pageBreakBefore w:val="0"/>
              <w:tabs>
                <w:tab w:val="left" w:pos="1322"/>
              </w:tabs>
              <w:kinsoku/>
              <w:wordWrap/>
              <w:overflowPunct/>
              <w:bidi w:val="0"/>
              <w:spacing w:line="560" w:lineRule="exact"/>
              <w:jc w:val="center"/>
              <w:rPr>
                <w:rFonts w:hint="default" w:ascii="Times New Roman" w:hAnsi="Times New Roman" w:eastAsia="仿宋" w:cs="Times New Roman"/>
                <w:b/>
                <w:bCs/>
                <w:color w:val="000000" w:themeColor="text1"/>
                <w:kern w:val="0"/>
                <w:sz w:val="28"/>
                <w:szCs w:val="28"/>
                <w14:textFill>
                  <w14:solidFill>
                    <w14:schemeClr w14:val="tx1"/>
                  </w14:solidFill>
                </w14:textFill>
              </w:rPr>
            </w:pPr>
            <w:r>
              <w:rPr>
                <w:rFonts w:hint="default" w:ascii="Times New Roman" w:hAnsi="Times New Roman" w:eastAsia="仿宋" w:cs="Times New Roman"/>
                <w:b/>
                <w:bCs/>
                <w:color w:val="000000" w:themeColor="text1"/>
                <w:kern w:val="0"/>
                <w:sz w:val="28"/>
                <w:szCs w:val="28"/>
                <w14:textFill>
                  <w14:solidFill>
                    <w14:schemeClr w14:val="tx1"/>
                  </w14:solidFill>
                </w14:textFill>
              </w:rPr>
              <w:t>职称</w:t>
            </w:r>
            <w:r>
              <w:rPr>
                <w:rFonts w:hint="default" w:ascii="Times New Roman" w:hAnsi="Times New Roman" w:eastAsia="仿宋" w:cs="Times New Roman"/>
                <w:b/>
                <w:bCs/>
                <w:color w:val="000000" w:themeColor="text1"/>
                <w:kern w:val="0"/>
                <w:sz w:val="28"/>
                <w:szCs w:val="28"/>
                <w14:textFill>
                  <w14:solidFill>
                    <w14:schemeClr w14:val="tx1"/>
                  </w14:solidFill>
                </w14:textFill>
              </w:rPr>
              <w:t>/</w:t>
            </w:r>
            <w:r>
              <w:rPr>
                <w:rFonts w:hint="default" w:ascii="Times New Roman" w:hAnsi="Times New Roman" w:eastAsia="仿宋" w:cs="Times New Roman"/>
                <w:b/>
                <w:bCs/>
                <w:color w:val="000000" w:themeColor="text1"/>
                <w:kern w:val="0"/>
                <w:sz w:val="28"/>
                <w:szCs w:val="28"/>
                <w14:textFill>
                  <w14:solidFill>
                    <w14:schemeClr w14:val="tx1"/>
                  </w14:solidFill>
                </w14:textFill>
              </w:rPr>
              <w:t>证书</w:t>
            </w:r>
          </w:p>
        </w:tc>
        <w:tc>
          <w:tcPr>
            <w:tcW w:w="2269" w:type="dxa"/>
            <w:tcBorders>
              <w:top w:val="single" w:color="auto" w:sz="4" w:space="0"/>
              <w:left w:val="single" w:color="auto" w:sz="4" w:space="0"/>
              <w:bottom w:val="single" w:color="auto" w:sz="4" w:space="0"/>
              <w:right w:val="single" w:color="auto" w:sz="4" w:space="0"/>
            </w:tcBorders>
            <w:vAlign w:val="center"/>
          </w:tcPr>
          <w:p w14:paraId="3DE81D43">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kern w:val="0"/>
                <w:sz w:val="28"/>
                <w:szCs w:val="28"/>
                <w14:textFill>
                  <w14:solidFill>
                    <w14:schemeClr w14:val="tx1"/>
                  </w14:solidFill>
                </w14:textFill>
              </w:rPr>
              <w:t>证书编号（如有）</w:t>
            </w:r>
          </w:p>
        </w:tc>
      </w:tr>
      <w:tr w14:paraId="1F68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74B905CF">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1</w:t>
            </w:r>
          </w:p>
        </w:tc>
        <w:tc>
          <w:tcPr>
            <w:tcW w:w="1518" w:type="dxa"/>
            <w:tcBorders>
              <w:top w:val="single" w:color="auto" w:sz="4" w:space="0"/>
              <w:left w:val="single" w:color="auto" w:sz="4" w:space="0"/>
              <w:bottom w:val="single" w:color="auto" w:sz="4" w:space="0"/>
              <w:right w:val="single" w:color="auto" w:sz="4" w:space="0"/>
            </w:tcBorders>
            <w:vAlign w:val="center"/>
          </w:tcPr>
          <w:p w14:paraId="7920D7E6">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负责人</w:t>
            </w:r>
          </w:p>
        </w:tc>
        <w:tc>
          <w:tcPr>
            <w:tcW w:w="1620" w:type="dxa"/>
            <w:tcBorders>
              <w:top w:val="single" w:color="auto" w:sz="4" w:space="0"/>
              <w:left w:val="single" w:color="auto" w:sz="4" w:space="0"/>
              <w:bottom w:val="single" w:color="auto" w:sz="4" w:space="0"/>
              <w:right w:val="single" w:color="auto" w:sz="4" w:space="0"/>
            </w:tcBorders>
            <w:vAlign w:val="center"/>
          </w:tcPr>
          <w:p w14:paraId="7C077C93">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424" w:type="dxa"/>
            <w:tcBorders>
              <w:top w:val="single" w:color="auto" w:sz="4" w:space="0"/>
              <w:left w:val="single" w:color="auto" w:sz="4" w:space="0"/>
              <w:bottom w:val="single" w:color="auto" w:sz="4" w:space="0"/>
              <w:right w:val="single" w:color="auto" w:sz="4" w:space="0"/>
            </w:tcBorders>
            <w:vAlign w:val="center"/>
          </w:tcPr>
          <w:p w14:paraId="46431481">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vAlign w:val="center"/>
          </w:tcPr>
          <w:p w14:paraId="16767182">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14:paraId="58ED3721">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r w14:paraId="450E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15B115E0">
            <w:pPr>
              <w:pageBreakBefore w:val="0"/>
              <w:kinsoku/>
              <w:wordWrap/>
              <w:overflowPunct/>
              <w:autoSpaceDE w:val="0"/>
              <w:autoSpaceDN w:val="0"/>
              <w:bidi w:val="0"/>
              <w:adjustRightInd w:val="0"/>
              <w:spacing w:line="560" w:lineRule="exact"/>
              <w:jc w:val="center"/>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2</w:t>
            </w:r>
          </w:p>
        </w:tc>
        <w:tc>
          <w:tcPr>
            <w:tcW w:w="1518" w:type="dxa"/>
            <w:vMerge w:val="restart"/>
            <w:tcBorders>
              <w:top w:val="single" w:color="auto" w:sz="4" w:space="0"/>
              <w:left w:val="single" w:color="auto" w:sz="4" w:space="0"/>
              <w:bottom w:val="single" w:color="auto" w:sz="4" w:space="0"/>
              <w:right w:val="single" w:color="auto" w:sz="4" w:space="0"/>
            </w:tcBorders>
            <w:vAlign w:val="center"/>
          </w:tcPr>
          <w:p w14:paraId="45A0E9BF">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主要经办人员配备情况</w:t>
            </w:r>
          </w:p>
        </w:tc>
        <w:tc>
          <w:tcPr>
            <w:tcW w:w="1620" w:type="dxa"/>
            <w:tcBorders>
              <w:top w:val="single" w:color="auto" w:sz="4" w:space="0"/>
              <w:left w:val="single" w:color="auto" w:sz="4" w:space="0"/>
              <w:bottom w:val="single" w:color="auto" w:sz="4" w:space="0"/>
              <w:right w:val="single" w:color="auto" w:sz="4" w:space="0"/>
            </w:tcBorders>
            <w:vAlign w:val="center"/>
          </w:tcPr>
          <w:p w14:paraId="49342724">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424" w:type="dxa"/>
            <w:tcBorders>
              <w:top w:val="single" w:color="auto" w:sz="4" w:space="0"/>
              <w:left w:val="single" w:color="auto" w:sz="4" w:space="0"/>
              <w:bottom w:val="single" w:color="auto" w:sz="4" w:space="0"/>
              <w:right w:val="single" w:color="auto" w:sz="4" w:space="0"/>
            </w:tcBorders>
            <w:vAlign w:val="center"/>
          </w:tcPr>
          <w:p w14:paraId="70CE795A">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vAlign w:val="center"/>
          </w:tcPr>
          <w:p w14:paraId="3C125367">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14:paraId="26166ADD">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r w14:paraId="7BB0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55C3A291">
            <w:pPr>
              <w:pageBreakBefore w:val="0"/>
              <w:kinsoku/>
              <w:wordWrap/>
              <w:overflowPunct/>
              <w:autoSpaceDE w:val="0"/>
              <w:autoSpaceDN w:val="0"/>
              <w:bidi w:val="0"/>
              <w:adjustRightInd w:val="0"/>
              <w:spacing w:line="560" w:lineRule="exact"/>
              <w:jc w:val="center"/>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3</w:t>
            </w:r>
          </w:p>
        </w:tc>
        <w:tc>
          <w:tcPr>
            <w:tcW w:w="1518" w:type="dxa"/>
            <w:vMerge w:val="continue"/>
            <w:tcBorders>
              <w:top w:val="single" w:color="auto" w:sz="4" w:space="0"/>
              <w:left w:val="single" w:color="auto" w:sz="4" w:space="0"/>
              <w:bottom w:val="single" w:color="auto" w:sz="4" w:space="0"/>
              <w:right w:val="single" w:color="auto" w:sz="4" w:space="0"/>
            </w:tcBorders>
            <w:vAlign w:val="center"/>
          </w:tcPr>
          <w:p w14:paraId="4D406E4A">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kern w:val="0"/>
                <w:sz w:val="28"/>
                <w:szCs w:val="28"/>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3BD3F003">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424" w:type="dxa"/>
            <w:tcBorders>
              <w:top w:val="single" w:color="auto" w:sz="4" w:space="0"/>
              <w:left w:val="single" w:color="auto" w:sz="4" w:space="0"/>
              <w:bottom w:val="single" w:color="auto" w:sz="4" w:space="0"/>
              <w:right w:val="single" w:color="auto" w:sz="4" w:space="0"/>
            </w:tcBorders>
            <w:vAlign w:val="center"/>
          </w:tcPr>
          <w:p w14:paraId="4CAB88D8">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vAlign w:val="center"/>
          </w:tcPr>
          <w:p w14:paraId="6BAD9391">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14:paraId="7D031E5A">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r w14:paraId="7085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3A3ED2C0">
            <w:pPr>
              <w:pageBreakBefore w:val="0"/>
              <w:kinsoku/>
              <w:wordWrap/>
              <w:overflowPunct/>
              <w:autoSpaceDE w:val="0"/>
              <w:autoSpaceDN w:val="0"/>
              <w:bidi w:val="0"/>
              <w:adjustRightInd w:val="0"/>
              <w:spacing w:line="560" w:lineRule="exact"/>
              <w:jc w:val="center"/>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4</w:t>
            </w:r>
          </w:p>
        </w:tc>
        <w:tc>
          <w:tcPr>
            <w:tcW w:w="1518" w:type="dxa"/>
            <w:vMerge w:val="continue"/>
            <w:tcBorders>
              <w:top w:val="single" w:color="auto" w:sz="4" w:space="0"/>
              <w:left w:val="single" w:color="auto" w:sz="4" w:space="0"/>
              <w:bottom w:val="single" w:color="auto" w:sz="4" w:space="0"/>
              <w:right w:val="single" w:color="auto" w:sz="4" w:space="0"/>
            </w:tcBorders>
            <w:vAlign w:val="center"/>
          </w:tcPr>
          <w:p w14:paraId="1727D36A">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kern w:val="0"/>
                <w:sz w:val="28"/>
                <w:szCs w:val="28"/>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6DE63DCE">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424" w:type="dxa"/>
            <w:tcBorders>
              <w:top w:val="single" w:color="auto" w:sz="4" w:space="0"/>
              <w:left w:val="single" w:color="auto" w:sz="4" w:space="0"/>
              <w:bottom w:val="single" w:color="auto" w:sz="4" w:space="0"/>
              <w:right w:val="single" w:color="auto" w:sz="4" w:space="0"/>
            </w:tcBorders>
            <w:vAlign w:val="center"/>
          </w:tcPr>
          <w:p w14:paraId="34DDFFCC">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vAlign w:val="center"/>
          </w:tcPr>
          <w:p w14:paraId="43AB079B">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14:paraId="134F9EA0">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r w14:paraId="15DE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2"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3F44AA7A">
            <w:pPr>
              <w:pageBreakBefore w:val="0"/>
              <w:kinsoku/>
              <w:wordWrap/>
              <w:overflowPunct/>
              <w:autoSpaceDE w:val="0"/>
              <w:autoSpaceDN w:val="0"/>
              <w:bidi w:val="0"/>
              <w:adjustRightInd w:val="0"/>
              <w:spacing w:line="560" w:lineRule="exact"/>
              <w:jc w:val="center"/>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w:t>
            </w:r>
          </w:p>
        </w:tc>
        <w:tc>
          <w:tcPr>
            <w:tcW w:w="1518" w:type="dxa"/>
            <w:vMerge w:val="continue"/>
            <w:tcBorders>
              <w:top w:val="single" w:color="auto" w:sz="4" w:space="0"/>
              <w:left w:val="single" w:color="auto" w:sz="4" w:space="0"/>
              <w:bottom w:val="single" w:color="auto" w:sz="4" w:space="0"/>
              <w:right w:val="single" w:color="auto" w:sz="4" w:space="0"/>
            </w:tcBorders>
            <w:vAlign w:val="center"/>
          </w:tcPr>
          <w:p w14:paraId="484CD613">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kern w:val="0"/>
                <w:sz w:val="28"/>
                <w:szCs w:val="28"/>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46BD62E1">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424" w:type="dxa"/>
            <w:tcBorders>
              <w:top w:val="single" w:color="auto" w:sz="4" w:space="0"/>
              <w:left w:val="single" w:color="auto" w:sz="4" w:space="0"/>
              <w:bottom w:val="single" w:color="auto" w:sz="4" w:space="0"/>
              <w:right w:val="single" w:color="auto" w:sz="4" w:space="0"/>
            </w:tcBorders>
            <w:vAlign w:val="center"/>
          </w:tcPr>
          <w:p w14:paraId="6A87329E">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1399" w:type="dxa"/>
            <w:tcBorders>
              <w:top w:val="single" w:color="auto" w:sz="4" w:space="0"/>
              <w:left w:val="single" w:color="auto" w:sz="4" w:space="0"/>
              <w:bottom w:val="single" w:color="auto" w:sz="4" w:space="0"/>
              <w:right w:val="single" w:color="auto" w:sz="4" w:space="0"/>
            </w:tcBorders>
            <w:vAlign w:val="center"/>
          </w:tcPr>
          <w:p w14:paraId="5FADD247">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14:paraId="2A68E9CD">
            <w:pPr>
              <w:pageBreakBefore w:val="0"/>
              <w:tabs>
                <w:tab w:val="left" w:pos="1322"/>
              </w:tabs>
              <w:kinsoku/>
              <w:wordWrap/>
              <w:overflowPunct/>
              <w:bidi w:val="0"/>
              <w:spacing w:line="560" w:lineRule="exact"/>
              <w:jc w:val="center"/>
              <w:rPr>
                <w:rFonts w:hint="default" w:ascii="Times New Roman" w:hAnsi="Times New Roman" w:eastAsia="仿宋" w:cs="Times New Roman"/>
                <w:color w:val="000000" w:themeColor="text1"/>
                <w:sz w:val="28"/>
                <w:szCs w:val="28"/>
                <w14:textFill>
                  <w14:solidFill>
                    <w14:schemeClr w14:val="tx1"/>
                  </w14:solidFill>
                </w14:textFill>
              </w:rPr>
            </w:pPr>
          </w:p>
        </w:tc>
      </w:tr>
    </w:tbl>
    <w:p w14:paraId="06C68337">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Cs/>
          <w:color w:val="000000" w:themeColor="text1"/>
          <w:kern w:val="0"/>
          <w:sz w:val="28"/>
          <w:szCs w:val="28"/>
          <w14:textFill>
            <w14:solidFill>
              <w14:schemeClr w14:val="tx1"/>
            </w14:solidFill>
          </w14:textFill>
        </w:rPr>
        <w:t>注：</w:t>
      </w:r>
      <w:r>
        <w:rPr>
          <w:rFonts w:hint="default" w:ascii="Times New Roman" w:hAnsi="Times New Roman" w:eastAsia="仿宋" w:cs="Times New Roman"/>
          <w:color w:val="000000" w:themeColor="text1"/>
          <w:sz w:val="28"/>
          <w:szCs w:val="28"/>
          <w14:textFill>
            <w14:solidFill>
              <w14:schemeClr w14:val="tx1"/>
            </w14:solidFill>
          </w14:textFill>
        </w:rPr>
        <w:t>本表后应按要求附相关人员的资格证书证明材料及近半年的个人社保证明页。</w:t>
      </w:r>
    </w:p>
    <w:p w14:paraId="39F2E2B8">
      <w:pPr>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0ED620C8">
      <w:pPr>
        <w:pStyle w:val="2"/>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1FFFDF61">
      <w:pPr>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595C955B">
      <w:pPr>
        <w:pStyle w:val="2"/>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6E83BD7D">
      <w:pPr>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487FCC72">
      <w:pPr>
        <w:pStyle w:val="2"/>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68FB05DA">
      <w:pPr>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14C3E4D4">
      <w:pPr>
        <w:pStyle w:val="2"/>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14FABC17">
      <w:pPr>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3C70D425">
      <w:pPr>
        <w:pStyle w:val="2"/>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73818CF2">
      <w:pPr>
        <w:pageBreakBefore w:val="0"/>
        <w:kinsoku/>
        <w:wordWrap/>
        <w:overflowPunct/>
        <w:bidi w:val="0"/>
        <w:spacing w:line="560" w:lineRule="exact"/>
        <w:rPr>
          <w:rFonts w:hint="default" w:ascii="Times New Roman" w:hAnsi="Times New Roman" w:eastAsia="仿宋" w:cs="Times New Roman"/>
          <w:color w:val="000000" w:themeColor="text1"/>
          <w:sz w:val="28"/>
          <w:szCs w:val="28"/>
          <w14:textFill>
            <w14:solidFill>
              <w14:schemeClr w14:val="tx1"/>
            </w14:solidFill>
          </w14:textFill>
        </w:rPr>
      </w:pPr>
    </w:p>
    <w:p w14:paraId="6ABB0AB1">
      <w:pPr>
        <w:pStyle w:val="2"/>
        <w:pageBreakBefore w:val="0"/>
        <w:kinsoku/>
        <w:wordWrap/>
        <w:overflowPunct/>
        <w:bidi w:val="0"/>
        <w:spacing w:line="560" w:lineRule="exact"/>
        <w:rPr>
          <w:rFonts w:hint="default" w:ascii="Times New Roman" w:hAnsi="Times New Roman" w:cs="Times New Roman"/>
        </w:rPr>
      </w:pPr>
    </w:p>
    <w:p w14:paraId="08A48E3B">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p>
    <w:p w14:paraId="0FCCA9B1">
      <w:pPr>
        <w:pStyle w:val="7"/>
        <w:pageBreakBefore w:val="0"/>
        <w:kinsoku/>
        <w:wordWrap/>
        <w:overflowPunct/>
        <w:bidi w:val="0"/>
        <w:adjustRightInd w:val="0"/>
        <w:snapToGrid w:val="0"/>
        <w:spacing w:line="560" w:lineRule="exact"/>
        <w:jc w:val="center"/>
        <w:rPr>
          <w:rFonts w:hint="default" w:ascii="Times New Roman" w:hAnsi="Times New Roman" w:eastAsia="仿宋" w:cs="Times New Roman"/>
          <w:b/>
          <w:bCs/>
          <w:color w:val="000000" w:themeColor="text1"/>
          <w:sz w:val="28"/>
          <w:szCs w:val="28"/>
          <w:lang w:eastAsia="zh-CN"/>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第四</w:t>
      </w:r>
      <w:r>
        <w:rPr>
          <w:rFonts w:hint="default" w:ascii="Times New Roman" w:hAnsi="Times New Roman" w:eastAsia="仿宋" w:cs="Times New Roman"/>
          <w:b/>
          <w:bCs/>
          <w:color w:val="000000" w:themeColor="text1"/>
          <w:sz w:val="28"/>
          <w:szCs w:val="28"/>
          <w:lang w:eastAsia="zh-CN"/>
          <w14:textFill>
            <w14:solidFill>
              <w14:schemeClr w14:val="tx1"/>
            </w14:solidFill>
          </w14:textFill>
        </w:rPr>
        <w:t>章</w:t>
      </w:r>
    </w:p>
    <w:p w14:paraId="233B2673">
      <w:pPr>
        <w:pStyle w:val="7"/>
        <w:pageBreakBefore w:val="0"/>
        <w:kinsoku/>
        <w:wordWrap/>
        <w:overflowPunct/>
        <w:bidi w:val="0"/>
        <w:adjustRightInd w:val="0"/>
        <w:snapToGrid w:val="0"/>
        <w:spacing w:line="560" w:lineRule="exact"/>
        <w:jc w:val="center"/>
        <w:rPr>
          <w:rFonts w:hint="default" w:ascii="Times New Roman" w:hAnsi="Times New Roman" w:eastAsia="仿宋" w:cs="Times New Roman"/>
          <w:b/>
          <w:bCs/>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sz w:val="28"/>
          <w:szCs w:val="28"/>
          <w14:textFill>
            <w14:solidFill>
              <w14:schemeClr w14:val="tx1"/>
            </w14:solidFill>
          </w14:textFill>
        </w:rPr>
        <w:t>成都市温江区城市道路桥梁管护中心现有管护道路桥梁统计表</w:t>
      </w:r>
    </w:p>
    <w:p w14:paraId="2F3EDE00">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p>
    <w:p w14:paraId="19D75FC6">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pict>
          <v:shape id="_x0000_s1026" o:spid="_x0000_s1026" o:spt="75" alt="" type="#_x0000_t75" style="position:absolute;left:0pt;margin-left:11pt;margin-top:7.4pt;height:193.2pt;width:268.95pt;z-index:251659264;mso-width-relative:page;mso-height-relative:page;" o:ole="t" filled="f" o:preferrelative="t" stroked="f" coordsize="21600,21600">
            <v:path/>
            <v:fill on="f" focussize="0,0"/>
            <v:stroke on="f"/>
            <v:imagedata r:id="rId7" o:title=""/>
            <o:lock v:ext="edit" aspectratio="t"/>
          </v:shape>
          <o:OLEObject Type="Embed" ProgID="Excel.Sheet.8" ShapeID="_x0000_s1026" DrawAspect="Icon" ObjectID="_1468075725" r:id="rId6">
            <o:LockedField>false</o:LockedField>
          </o:OLEObject>
        </w:pict>
      </w:r>
    </w:p>
    <w:p w14:paraId="7681E420">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p>
    <w:p w14:paraId="70199E7A">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p>
    <w:p w14:paraId="21E19C18">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p>
    <w:p w14:paraId="672DFC3D">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p>
    <w:p w14:paraId="6A32A0DA">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p>
    <w:p w14:paraId="3351AC3B">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p>
    <w:p w14:paraId="5F490F86">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14:textFill>
            <w14:solidFill>
              <w14:schemeClr w14:val="tx1"/>
            </w14:solidFill>
          </w14:textFill>
        </w:rPr>
      </w:pPr>
    </w:p>
    <w:p w14:paraId="10E57B72">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lang w:val="zh-CN"/>
          <w14:textFill>
            <w14:solidFill>
              <w14:schemeClr w14:val="tx1"/>
            </w14:solidFill>
          </w14:textFill>
        </w:rPr>
      </w:pPr>
    </w:p>
    <w:p w14:paraId="4EBD903E">
      <w:pPr>
        <w:pStyle w:val="7"/>
        <w:pageBreakBefore w:val="0"/>
        <w:kinsoku/>
        <w:wordWrap/>
        <w:overflowPunct/>
        <w:bidi w:val="0"/>
        <w:adjustRightInd w:val="0"/>
        <w:snapToGrid w:val="0"/>
        <w:spacing w:line="560" w:lineRule="exact"/>
        <w:jc w:val="left"/>
        <w:rPr>
          <w:rFonts w:hint="default" w:ascii="Times New Roman" w:hAnsi="Times New Roman" w:eastAsia="仿宋" w:cs="Times New Roman"/>
          <w:color w:val="000000" w:themeColor="text1"/>
          <w:sz w:val="28"/>
          <w:szCs w:val="28"/>
          <w:lang w:val="zh-CN"/>
          <w14:textFill>
            <w14:solidFill>
              <w14:schemeClr w14:val="tx1"/>
            </w14:solidFill>
          </w14:textFill>
        </w:rPr>
      </w:pPr>
      <w:bookmarkStart w:id="2" w:name="_GoBack"/>
      <w:bookmarkEnd w:id="2"/>
    </w:p>
    <w:sectPr>
      <w:pgSz w:w="11906" w:h="16838"/>
      <w:pgMar w:top="1418" w:right="1797" w:bottom="1418"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01724">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A4B31">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AA4B31">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D5F7">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8B7B4D"/>
    <w:multiLevelType w:val="singleLevel"/>
    <w:tmpl w:val="DB8B7B4D"/>
    <w:lvl w:ilvl="0" w:tentative="0">
      <w:start w:val="1"/>
      <w:numFmt w:val="decimal"/>
      <w:suff w:val="nothing"/>
      <w:lvlText w:val="（%1）"/>
      <w:lvlJc w:val="left"/>
    </w:lvl>
  </w:abstractNum>
  <w:abstractNum w:abstractNumId="1">
    <w:nsid w:val="4B95969E"/>
    <w:multiLevelType w:val="singleLevel"/>
    <w:tmpl w:val="4B95969E"/>
    <w:lvl w:ilvl="0" w:tentative="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ED"/>
    <w:rsid w:val="000007B7"/>
    <w:rsid w:val="000066CB"/>
    <w:rsid w:val="000107A1"/>
    <w:rsid w:val="000107EB"/>
    <w:rsid w:val="00012110"/>
    <w:rsid w:val="00012CC3"/>
    <w:rsid w:val="00013746"/>
    <w:rsid w:val="00020DA2"/>
    <w:rsid w:val="000211D7"/>
    <w:rsid w:val="000242EA"/>
    <w:rsid w:val="0003045B"/>
    <w:rsid w:val="00032D93"/>
    <w:rsid w:val="00041F72"/>
    <w:rsid w:val="0004257C"/>
    <w:rsid w:val="00042B76"/>
    <w:rsid w:val="0005015B"/>
    <w:rsid w:val="0005040E"/>
    <w:rsid w:val="00050B87"/>
    <w:rsid w:val="00050C36"/>
    <w:rsid w:val="00050EC9"/>
    <w:rsid w:val="00054726"/>
    <w:rsid w:val="000548AA"/>
    <w:rsid w:val="00060347"/>
    <w:rsid w:val="00060A4A"/>
    <w:rsid w:val="00062AE7"/>
    <w:rsid w:val="00066EC4"/>
    <w:rsid w:val="000748E6"/>
    <w:rsid w:val="00083D0D"/>
    <w:rsid w:val="0008459C"/>
    <w:rsid w:val="00093BB2"/>
    <w:rsid w:val="00096242"/>
    <w:rsid w:val="000A0338"/>
    <w:rsid w:val="000A1973"/>
    <w:rsid w:val="000A4B6F"/>
    <w:rsid w:val="000A641D"/>
    <w:rsid w:val="000B296C"/>
    <w:rsid w:val="000B4449"/>
    <w:rsid w:val="000B5D9C"/>
    <w:rsid w:val="000B7926"/>
    <w:rsid w:val="000C0175"/>
    <w:rsid w:val="000C60E3"/>
    <w:rsid w:val="000D0092"/>
    <w:rsid w:val="000D1C16"/>
    <w:rsid w:val="000D2E97"/>
    <w:rsid w:val="000D389D"/>
    <w:rsid w:val="000D61A5"/>
    <w:rsid w:val="000D74FF"/>
    <w:rsid w:val="000E2C3B"/>
    <w:rsid w:val="000E5AC3"/>
    <w:rsid w:val="000E5F8E"/>
    <w:rsid w:val="000E6A82"/>
    <w:rsid w:val="000F2C72"/>
    <w:rsid w:val="000F5CB0"/>
    <w:rsid w:val="0010102D"/>
    <w:rsid w:val="0010169B"/>
    <w:rsid w:val="0010386B"/>
    <w:rsid w:val="00106854"/>
    <w:rsid w:val="001076C7"/>
    <w:rsid w:val="00111227"/>
    <w:rsid w:val="0011142F"/>
    <w:rsid w:val="00111A67"/>
    <w:rsid w:val="0012059C"/>
    <w:rsid w:val="00121699"/>
    <w:rsid w:val="00123573"/>
    <w:rsid w:val="00123607"/>
    <w:rsid w:val="00124E4B"/>
    <w:rsid w:val="00130EA8"/>
    <w:rsid w:val="00133E23"/>
    <w:rsid w:val="001404BB"/>
    <w:rsid w:val="0014051A"/>
    <w:rsid w:val="00142FA8"/>
    <w:rsid w:val="001437DE"/>
    <w:rsid w:val="001502A2"/>
    <w:rsid w:val="00150336"/>
    <w:rsid w:val="0015427E"/>
    <w:rsid w:val="00154B08"/>
    <w:rsid w:val="0015627D"/>
    <w:rsid w:val="00157374"/>
    <w:rsid w:val="00160764"/>
    <w:rsid w:val="0016204E"/>
    <w:rsid w:val="001624A9"/>
    <w:rsid w:val="00164A54"/>
    <w:rsid w:val="00171E10"/>
    <w:rsid w:val="001729B1"/>
    <w:rsid w:val="00173D9B"/>
    <w:rsid w:val="001748BD"/>
    <w:rsid w:val="00174FE7"/>
    <w:rsid w:val="00180008"/>
    <w:rsid w:val="0018402A"/>
    <w:rsid w:val="001869B5"/>
    <w:rsid w:val="00186F95"/>
    <w:rsid w:val="00190488"/>
    <w:rsid w:val="00191A49"/>
    <w:rsid w:val="00192121"/>
    <w:rsid w:val="001937C5"/>
    <w:rsid w:val="00197DD0"/>
    <w:rsid w:val="001A2B3D"/>
    <w:rsid w:val="001A3FFE"/>
    <w:rsid w:val="001A7701"/>
    <w:rsid w:val="001B14A3"/>
    <w:rsid w:val="001B27C9"/>
    <w:rsid w:val="001B32C4"/>
    <w:rsid w:val="001B486F"/>
    <w:rsid w:val="001B4EC4"/>
    <w:rsid w:val="001B77C1"/>
    <w:rsid w:val="001C1185"/>
    <w:rsid w:val="001C2D2F"/>
    <w:rsid w:val="001C320C"/>
    <w:rsid w:val="001C6575"/>
    <w:rsid w:val="001D04B4"/>
    <w:rsid w:val="001D1699"/>
    <w:rsid w:val="001D4A89"/>
    <w:rsid w:val="001D7435"/>
    <w:rsid w:val="001E05D5"/>
    <w:rsid w:val="001E20B7"/>
    <w:rsid w:val="001F0666"/>
    <w:rsid w:val="001F59FD"/>
    <w:rsid w:val="0020031B"/>
    <w:rsid w:val="0020143B"/>
    <w:rsid w:val="00202359"/>
    <w:rsid w:val="00202DFD"/>
    <w:rsid w:val="00207319"/>
    <w:rsid w:val="00207EB1"/>
    <w:rsid w:val="00212C40"/>
    <w:rsid w:val="00214435"/>
    <w:rsid w:val="00215D81"/>
    <w:rsid w:val="00216853"/>
    <w:rsid w:val="002173E0"/>
    <w:rsid w:val="00220009"/>
    <w:rsid w:val="00224599"/>
    <w:rsid w:val="0023125E"/>
    <w:rsid w:val="002319A3"/>
    <w:rsid w:val="00231D73"/>
    <w:rsid w:val="00234C1A"/>
    <w:rsid w:val="00236D17"/>
    <w:rsid w:val="00241F14"/>
    <w:rsid w:val="0024322D"/>
    <w:rsid w:val="00246AB4"/>
    <w:rsid w:val="00250197"/>
    <w:rsid w:val="00257AD2"/>
    <w:rsid w:val="002629D2"/>
    <w:rsid w:val="00263581"/>
    <w:rsid w:val="00270226"/>
    <w:rsid w:val="00270FB5"/>
    <w:rsid w:val="00271FE3"/>
    <w:rsid w:val="002736B7"/>
    <w:rsid w:val="00275596"/>
    <w:rsid w:val="002819CE"/>
    <w:rsid w:val="00282049"/>
    <w:rsid w:val="00283AB4"/>
    <w:rsid w:val="00283DC2"/>
    <w:rsid w:val="00285387"/>
    <w:rsid w:val="002863EC"/>
    <w:rsid w:val="0028658F"/>
    <w:rsid w:val="00287929"/>
    <w:rsid w:val="00293A5E"/>
    <w:rsid w:val="002A0B04"/>
    <w:rsid w:val="002A2E7F"/>
    <w:rsid w:val="002A355D"/>
    <w:rsid w:val="002A3CC1"/>
    <w:rsid w:val="002A4072"/>
    <w:rsid w:val="002A4F36"/>
    <w:rsid w:val="002A785C"/>
    <w:rsid w:val="002B260E"/>
    <w:rsid w:val="002B2851"/>
    <w:rsid w:val="002B5560"/>
    <w:rsid w:val="002B5ACF"/>
    <w:rsid w:val="002B628A"/>
    <w:rsid w:val="002B7B65"/>
    <w:rsid w:val="002C150C"/>
    <w:rsid w:val="002C4C94"/>
    <w:rsid w:val="002C6987"/>
    <w:rsid w:val="002C7CC4"/>
    <w:rsid w:val="002D102E"/>
    <w:rsid w:val="002D11D1"/>
    <w:rsid w:val="002D45AB"/>
    <w:rsid w:val="002D47EB"/>
    <w:rsid w:val="002D7096"/>
    <w:rsid w:val="002E14E5"/>
    <w:rsid w:val="002E276A"/>
    <w:rsid w:val="002E6C67"/>
    <w:rsid w:val="002F0719"/>
    <w:rsid w:val="002F37E0"/>
    <w:rsid w:val="002F3CCE"/>
    <w:rsid w:val="002F3D8F"/>
    <w:rsid w:val="002F47FA"/>
    <w:rsid w:val="002F5A3E"/>
    <w:rsid w:val="003016ED"/>
    <w:rsid w:val="00302625"/>
    <w:rsid w:val="00303F4D"/>
    <w:rsid w:val="0030414C"/>
    <w:rsid w:val="0030495F"/>
    <w:rsid w:val="00307409"/>
    <w:rsid w:val="0031256A"/>
    <w:rsid w:val="00314B40"/>
    <w:rsid w:val="00315492"/>
    <w:rsid w:val="003162D3"/>
    <w:rsid w:val="0032192C"/>
    <w:rsid w:val="0032254B"/>
    <w:rsid w:val="0032365C"/>
    <w:rsid w:val="0032420E"/>
    <w:rsid w:val="00324270"/>
    <w:rsid w:val="003256E2"/>
    <w:rsid w:val="00326693"/>
    <w:rsid w:val="00327B95"/>
    <w:rsid w:val="00332848"/>
    <w:rsid w:val="003349C3"/>
    <w:rsid w:val="00334FCC"/>
    <w:rsid w:val="003408DE"/>
    <w:rsid w:val="00340A84"/>
    <w:rsid w:val="003432B3"/>
    <w:rsid w:val="0034334E"/>
    <w:rsid w:val="00343C3E"/>
    <w:rsid w:val="00346E1C"/>
    <w:rsid w:val="00350010"/>
    <w:rsid w:val="00351D37"/>
    <w:rsid w:val="00352BF1"/>
    <w:rsid w:val="00354C0F"/>
    <w:rsid w:val="00355C5E"/>
    <w:rsid w:val="00357198"/>
    <w:rsid w:val="003614CB"/>
    <w:rsid w:val="003634CD"/>
    <w:rsid w:val="00363A2E"/>
    <w:rsid w:val="0036604E"/>
    <w:rsid w:val="00366B9F"/>
    <w:rsid w:val="00366F41"/>
    <w:rsid w:val="00370DF6"/>
    <w:rsid w:val="00375D0C"/>
    <w:rsid w:val="00376512"/>
    <w:rsid w:val="00377078"/>
    <w:rsid w:val="00380A83"/>
    <w:rsid w:val="003821F0"/>
    <w:rsid w:val="00386E4B"/>
    <w:rsid w:val="00387097"/>
    <w:rsid w:val="00387CC4"/>
    <w:rsid w:val="00394C1D"/>
    <w:rsid w:val="003A217C"/>
    <w:rsid w:val="003A21AD"/>
    <w:rsid w:val="003A7B96"/>
    <w:rsid w:val="003B12B8"/>
    <w:rsid w:val="003B2519"/>
    <w:rsid w:val="003B2D1F"/>
    <w:rsid w:val="003B3DC7"/>
    <w:rsid w:val="003B5B8B"/>
    <w:rsid w:val="003C049B"/>
    <w:rsid w:val="003C0DC8"/>
    <w:rsid w:val="003C2D9F"/>
    <w:rsid w:val="003C40A9"/>
    <w:rsid w:val="003C4278"/>
    <w:rsid w:val="003C5114"/>
    <w:rsid w:val="003C6062"/>
    <w:rsid w:val="003C7358"/>
    <w:rsid w:val="003C776B"/>
    <w:rsid w:val="003D10C7"/>
    <w:rsid w:val="003D29FB"/>
    <w:rsid w:val="003D354C"/>
    <w:rsid w:val="003D402E"/>
    <w:rsid w:val="003D4B2A"/>
    <w:rsid w:val="003D7669"/>
    <w:rsid w:val="003E0982"/>
    <w:rsid w:val="003E353B"/>
    <w:rsid w:val="003E4E32"/>
    <w:rsid w:val="003F04F4"/>
    <w:rsid w:val="003F075B"/>
    <w:rsid w:val="003F1FAF"/>
    <w:rsid w:val="003F2747"/>
    <w:rsid w:val="003F3D51"/>
    <w:rsid w:val="003F4FDE"/>
    <w:rsid w:val="004015B0"/>
    <w:rsid w:val="00406F70"/>
    <w:rsid w:val="00407956"/>
    <w:rsid w:val="004105BC"/>
    <w:rsid w:val="00412599"/>
    <w:rsid w:val="00412852"/>
    <w:rsid w:val="00412C00"/>
    <w:rsid w:val="00412DAF"/>
    <w:rsid w:val="0041387C"/>
    <w:rsid w:val="00415372"/>
    <w:rsid w:val="0041772A"/>
    <w:rsid w:val="004314DB"/>
    <w:rsid w:val="00433E6C"/>
    <w:rsid w:val="004445ED"/>
    <w:rsid w:val="00445DF8"/>
    <w:rsid w:val="00447715"/>
    <w:rsid w:val="00447C31"/>
    <w:rsid w:val="00447CE3"/>
    <w:rsid w:val="004509E8"/>
    <w:rsid w:val="004563A8"/>
    <w:rsid w:val="00456FEE"/>
    <w:rsid w:val="0046021E"/>
    <w:rsid w:val="00460A95"/>
    <w:rsid w:val="00460C7D"/>
    <w:rsid w:val="00463910"/>
    <w:rsid w:val="004731F4"/>
    <w:rsid w:val="00473D1C"/>
    <w:rsid w:val="00473E72"/>
    <w:rsid w:val="004777E5"/>
    <w:rsid w:val="00481522"/>
    <w:rsid w:val="00481CBC"/>
    <w:rsid w:val="00484373"/>
    <w:rsid w:val="00484C99"/>
    <w:rsid w:val="0049146D"/>
    <w:rsid w:val="00494078"/>
    <w:rsid w:val="00495A89"/>
    <w:rsid w:val="00496253"/>
    <w:rsid w:val="00497B6F"/>
    <w:rsid w:val="004A3B12"/>
    <w:rsid w:val="004A42E6"/>
    <w:rsid w:val="004A47D5"/>
    <w:rsid w:val="004A5B26"/>
    <w:rsid w:val="004B0F21"/>
    <w:rsid w:val="004B46BD"/>
    <w:rsid w:val="004B660B"/>
    <w:rsid w:val="004B6BE3"/>
    <w:rsid w:val="004C1CAA"/>
    <w:rsid w:val="004C65F4"/>
    <w:rsid w:val="004D22B3"/>
    <w:rsid w:val="004D43A4"/>
    <w:rsid w:val="004D5BE4"/>
    <w:rsid w:val="004D7546"/>
    <w:rsid w:val="004D7E65"/>
    <w:rsid w:val="004E0A50"/>
    <w:rsid w:val="004E1CA3"/>
    <w:rsid w:val="004E3C70"/>
    <w:rsid w:val="004E3FB3"/>
    <w:rsid w:val="004E5392"/>
    <w:rsid w:val="004E5D01"/>
    <w:rsid w:val="004E7D83"/>
    <w:rsid w:val="004F053F"/>
    <w:rsid w:val="004F0688"/>
    <w:rsid w:val="004F1D0D"/>
    <w:rsid w:val="004F5103"/>
    <w:rsid w:val="004F7DAB"/>
    <w:rsid w:val="0050625D"/>
    <w:rsid w:val="00513018"/>
    <w:rsid w:val="005150AA"/>
    <w:rsid w:val="005156FC"/>
    <w:rsid w:val="0051794D"/>
    <w:rsid w:val="00527891"/>
    <w:rsid w:val="00530852"/>
    <w:rsid w:val="00532575"/>
    <w:rsid w:val="005346E2"/>
    <w:rsid w:val="00534923"/>
    <w:rsid w:val="005427CE"/>
    <w:rsid w:val="00547AE6"/>
    <w:rsid w:val="0055181A"/>
    <w:rsid w:val="005525DA"/>
    <w:rsid w:val="00552B82"/>
    <w:rsid w:val="005541CF"/>
    <w:rsid w:val="00561B19"/>
    <w:rsid w:val="00566B5B"/>
    <w:rsid w:val="005670B2"/>
    <w:rsid w:val="00571A70"/>
    <w:rsid w:val="005754F9"/>
    <w:rsid w:val="00581F58"/>
    <w:rsid w:val="00583852"/>
    <w:rsid w:val="00583AD3"/>
    <w:rsid w:val="0058517C"/>
    <w:rsid w:val="00585FBC"/>
    <w:rsid w:val="00587B33"/>
    <w:rsid w:val="005A2B1A"/>
    <w:rsid w:val="005B1742"/>
    <w:rsid w:val="005B3D25"/>
    <w:rsid w:val="005B5B90"/>
    <w:rsid w:val="005B653B"/>
    <w:rsid w:val="005C0067"/>
    <w:rsid w:val="005C2C72"/>
    <w:rsid w:val="005C2ED1"/>
    <w:rsid w:val="005C5495"/>
    <w:rsid w:val="005C5C99"/>
    <w:rsid w:val="005C682D"/>
    <w:rsid w:val="005D06B1"/>
    <w:rsid w:val="005D16DD"/>
    <w:rsid w:val="005D3189"/>
    <w:rsid w:val="005D4282"/>
    <w:rsid w:val="005D52B3"/>
    <w:rsid w:val="005D695F"/>
    <w:rsid w:val="005E1264"/>
    <w:rsid w:val="005E1D11"/>
    <w:rsid w:val="005E7818"/>
    <w:rsid w:val="005F166E"/>
    <w:rsid w:val="005F3B7A"/>
    <w:rsid w:val="00602EC4"/>
    <w:rsid w:val="006073CE"/>
    <w:rsid w:val="00610160"/>
    <w:rsid w:val="006112E8"/>
    <w:rsid w:val="00622948"/>
    <w:rsid w:val="00624C7F"/>
    <w:rsid w:val="00624EBE"/>
    <w:rsid w:val="00626545"/>
    <w:rsid w:val="00626978"/>
    <w:rsid w:val="006279F6"/>
    <w:rsid w:val="00634E9B"/>
    <w:rsid w:val="006352A0"/>
    <w:rsid w:val="006364ED"/>
    <w:rsid w:val="006426AF"/>
    <w:rsid w:val="00642E54"/>
    <w:rsid w:val="0064338F"/>
    <w:rsid w:val="00645C84"/>
    <w:rsid w:val="00646275"/>
    <w:rsid w:val="00647E75"/>
    <w:rsid w:val="00650C09"/>
    <w:rsid w:val="00652775"/>
    <w:rsid w:val="006541DE"/>
    <w:rsid w:val="00657094"/>
    <w:rsid w:val="006617F7"/>
    <w:rsid w:val="006631C7"/>
    <w:rsid w:val="00663A4D"/>
    <w:rsid w:val="00663EFB"/>
    <w:rsid w:val="006734E8"/>
    <w:rsid w:val="00673CA5"/>
    <w:rsid w:val="006744C9"/>
    <w:rsid w:val="0067457B"/>
    <w:rsid w:val="00676088"/>
    <w:rsid w:val="0067792F"/>
    <w:rsid w:val="00684740"/>
    <w:rsid w:val="00685A72"/>
    <w:rsid w:val="00685C29"/>
    <w:rsid w:val="006925D7"/>
    <w:rsid w:val="006944A0"/>
    <w:rsid w:val="00694771"/>
    <w:rsid w:val="00694D7A"/>
    <w:rsid w:val="006A3AEA"/>
    <w:rsid w:val="006B4350"/>
    <w:rsid w:val="006B43EE"/>
    <w:rsid w:val="006B4963"/>
    <w:rsid w:val="006C0312"/>
    <w:rsid w:val="006C0A00"/>
    <w:rsid w:val="006C2141"/>
    <w:rsid w:val="006C242B"/>
    <w:rsid w:val="006D405C"/>
    <w:rsid w:val="006D459E"/>
    <w:rsid w:val="006D557E"/>
    <w:rsid w:val="006D6C1E"/>
    <w:rsid w:val="006E4906"/>
    <w:rsid w:val="006E7A96"/>
    <w:rsid w:val="006E7AC0"/>
    <w:rsid w:val="006F10BE"/>
    <w:rsid w:val="006F4A9D"/>
    <w:rsid w:val="006F549E"/>
    <w:rsid w:val="006F6B5F"/>
    <w:rsid w:val="00703AC7"/>
    <w:rsid w:val="00713860"/>
    <w:rsid w:val="00715E5C"/>
    <w:rsid w:val="007171E2"/>
    <w:rsid w:val="0071735F"/>
    <w:rsid w:val="00721CD4"/>
    <w:rsid w:val="00724B95"/>
    <w:rsid w:val="007255D2"/>
    <w:rsid w:val="00726B68"/>
    <w:rsid w:val="00733864"/>
    <w:rsid w:val="0073426D"/>
    <w:rsid w:val="0073499A"/>
    <w:rsid w:val="00734D2E"/>
    <w:rsid w:val="00736867"/>
    <w:rsid w:val="00737767"/>
    <w:rsid w:val="007401D0"/>
    <w:rsid w:val="007408B2"/>
    <w:rsid w:val="00742A91"/>
    <w:rsid w:val="00744853"/>
    <w:rsid w:val="00745620"/>
    <w:rsid w:val="0074704E"/>
    <w:rsid w:val="00747A32"/>
    <w:rsid w:val="00755753"/>
    <w:rsid w:val="0075610E"/>
    <w:rsid w:val="00757AE8"/>
    <w:rsid w:val="00761A45"/>
    <w:rsid w:val="007630E9"/>
    <w:rsid w:val="00771CE5"/>
    <w:rsid w:val="007721E1"/>
    <w:rsid w:val="0077393E"/>
    <w:rsid w:val="00776D96"/>
    <w:rsid w:val="00777A65"/>
    <w:rsid w:val="00781439"/>
    <w:rsid w:val="00782E02"/>
    <w:rsid w:val="007858A2"/>
    <w:rsid w:val="00787F80"/>
    <w:rsid w:val="0079731A"/>
    <w:rsid w:val="00797662"/>
    <w:rsid w:val="00797D14"/>
    <w:rsid w:val="007A1429"/>
    <w:rsid w:val="007A1635"/>
    <w:rsid w:val="007A24F5"/>
    <w:rsid w:val="007B0074"/>
    <w:rsid w:val="007B0E1C"/>
    <w:rsid w:val="007B137D"/>
    <w:rsid w:val="007B1E6D"/>
    <w:rsid w:val="007B42F8"/>
    <w:rsid w:val="007B5222"/>
    <w:rsid w:val="007B5575"/>
    <w:rsid w:val="007B63F5"/>
    <w:rsid w:val="007B69D0"/>
    <w:rsid w:val="007B76B8"/>
    <w:rsid w:val="007C156F"/>
    <w:rsid w:val="007C1707"/>
    <w:rsid w:val="007C374C"/>
    <w:rsid w:val="007C4339"/>
    <w:rsid w:val="007C4914"/>
    <w:rsid w:val="007C5C49"/>
    <w:rsid w:val="007C75A5"/>
    <w:rsid w:val="007D1863"/>
    <w:rsid w:val="007D4456"/>
    <w:rsid w:val="007D6025"/>
    <w:rsid w:val="007D7BC1"/>
    <w:rsid w:val="007E3A58"/>
    <w:rsid w:val="007E7509"/>
    <w:rsid w:val="007F22A1"/>
    <w:rsid w:val="007F2804"/>
    <w:rsid w:val="007F29E1"/>
    <w:rsid w:val="007F7A02"/>
    <w:rsid w:val="00800FC0"/>
    <w:rsid w:val="008032F4"/>
    <w:rsid w:val="008043ED"/>
    <w:rsid w:val="00805A43"/>
    <w:rsid w:val="00806595"/>
    <w:rsid w:val="008071CA"/>
    <w:rsid w:val="008117E9"/>
    <w:rsid w:val="00812422"/>
    <w:rsid w:val="00814246"/>
    <w:rsid w:val="008159AD"/>
    <w:rsid w:val="0081625F"/>
    <w:rsid w:val="0081724C"/>
    <w:rsid w:val="00821841"/>
    <w:rsid w:val="00821A7B"/>
    <w:rsid w:val="00821DA2"/>
    <w:rsid w:val="0082766C"/>
    <w:rsid w:val="00827F4A"/>
    <w:rsid w:val="00831715"/>
    <w:rsid w:val="00835F09"/>
    <w:rsid w:val="00837CE1"/>
    <w:rsid w:val="008412CB"/>
    <w:rsid w:val="0084204C"/>
    <w:rsid w:val="008425EE"/>
    <w:rsid w:val="00843231"/>
    <w:rsid w:val="00845895"/>
    <w:rsid w:val="00850B5F"/>
    <w:rsid w:val="00852F8C"/>
    <w:rsid w:val="0085688B"/>
    <w:rsid w:val="008630FB"/>
    <w:rsid w:val="008641F9"/>
    <w:rsid w:val="00866DAC"/>
    <w:rsid w:val="00867536"/>
    <w:rsid w:val="00867CFC"/>
    <w:rsid w:val="008700C3"/>
    <w:rsid w:val="00870B0F"/>
    <w:rsid w:val="008712E0"/>
    <w:rsid w:val="008719FE"/>
    <w:rsid w:val="0087526B"/>
    <w:rsid w:val="00877360"/>
    <w:rsid w:val="00881DCE"/>
    <w:rsid w:val="00884E27"/>
    <w:rsid w:val="0089541A"/>
    <w:rsid w:val="008B1A57"/>
    <w:rsid w:val="008B1D73"/>
    <w:rsid w:val="008B3C9D"/>
    <w:rsid w:val="008C6689"/>
    <w:rsid w:val="008C697A"/>
    <w:rsid w:val="008C7BBA"/>
    <w:rsid w:val="008D1401"/>
    <w:rsid w:val="008D1801"/>
    <w:rsid w:val="008D42AB"/>
    <w:rsid w:val="008E0CFC"/>
    <w:rsid w:val="008E0E58"/>
    <w:rsid w:val="008E1EDA"/>
    <w:rsid w:val="008E3257"/>
    <w:rsid w:val="008E4195"/>
    <w:rsid w:val="008E45FA"/>
    <w:rsid w:val="008E6D93"/>
    <w:rsid w:val="008E71D0"/>
    <w:rsid w:val="008F0018"/>
    <w:rsid w:val="008F0116"/>
    <w:rsid w:val="008F08F4"/>
    <w:rsid w:val="008F2099"/>
    <w:rsid w:val="0090387F"/>
    <w:rsid w:val="009059A1"/>
    <w:rsid w:val="00914652"/>
    <w:rsid w:val="00921AA7"/>
    <w:rsid w:val="0092408F"/>
    <w:rsid w:val="009240D5"/>
    <w:rsid w:val="0092661B"/>
    <w:rsid w:val="0092744C"/>
    <w:rsid w:val="00931605"/>
    <w:rsid w:val="00931972"/>
    <w:rsid w:val="009338F7"/>
    <w:rsid w:val="009354C5"/>
    <w:rsid w:val="00935EDE"/>
    <w:rsid w:val="00936176"/>
    <w:rsid w:val="009361AF"/>
    <w:rsid w:val="00936C5F"/>
    <w:rsid w:val="00942634"/>
    <w:rsid w:val="009525AB"/>
    <w:rsid w:val="00966695"/>
    <w:rsid w:val="00967872"/>
    <w:rsid w:val="00967C9C"/>
    <w:rsid w:val="00967F57"/>
    <w:rsid w:val="00974170"/>
    <w:rsid w:val="00980116"/>
    <w:rsid w:val="00983800"/>
    <w:rsid w:val="009854ED"/>
    <w:rsid w:val="00985526"/>
    <w:rsid w:val="00993828"/>
    <w:rsid w:val="00994836"/>
    <w:rsid w:val="00995E51"/>
    <w:rsid w:val="00995FD2"/>
    <w:rsid w:val="00997457"/>
    <w:rsid w:val="009974C7"/>
    <w:rsid w:val="00997BF1"/>
    <w:rsid w:val="009A1F15"/>
    <w:rsid w:val="009A3AE4"/>
    <w:rsid w:val="009A4351"/>
    <w:rsid w:val="009A678D"/>
    <w:rsid w:val="009B068B"/>
    <w:rsid w:val="009B19D5"/>
    <w:rsid w:val="009B3F4E"/>
    <w:rsid w:val="009B4BC9"/>
    <w:rsid w:val="009B69D3"/>
    <w:rsid w:val="009C0D8D"/>
    <w:rsid w:val="009C4AC8"/>
    <w:rsid w:val="009C6D97"/>
    <w:rsid w:val="009D113A"/>
    <w:rsid w:val="009D543B"/>
    <w:rsid w:val="009E15BD"/>
    <w:rsid w:val="009E1F4B"/>
    <w:rsid w:val="009E55BB"/>
    <w:rsid w:val="009E59A3"/>
    <w:rsid w:val="009E6FDD"/>
    <w:rsid w:val="009E7FCE"/>
    <w:rsid w:val="009F1FD9"/>
    <w:rsid w:val="009F2CE6"/>
    <w:rsid w:val="009F36B9"/>
    <w:rsid w:val="009F3F74"/>
    <w:rsid w:val="00A0032A"/>
    <w:rsid w:val="00A07A49"/>
    <w:rsid w:val="00A11473"/>
    <w:rsid w:val="00A11601"/>
    <w:rsid w:val="00A12DF2"/>
    <w:rsid w:val="00A15E01"/>
    <w:rsid w:val="00A16963"/>
    <w:rsid w:val="00A17ABF"/>
    <w:rsid w:val="00A216C0"/>
    <w:rsid w:val="00A2414B"/>
    <w:rsid w:val="00A2552F"/>
    <w:rsid w:val="00A2640B"/>
    <w:rsid w:val="00A269C7"/>
    <w:rsid w:val="00A26B44"/>
    <w:rsid w:val="00A31CF9"/>
    <w:rsid w:val="00A346B0"/>
    <w:rsid w:val="00A35798"/>
    <w:rsid w:val="00A40194"/>
    <w:rsid w:val="00A401B1"/>
    <w:rsid w:val="00A45CD4"/>
    <w:rsid w:val="00A465F4"/>
    <w:rsid w:val="00A547ED"/>
    <w:rsid w:val="00A5632F"/>
    <w:rsid w:val="00A60071"/>
    <w:rsid w:val="00A61029"/>
    <w:rsid w:val="00A64E0E"/>
    <w:rsid w:val="00A66422"/>
    <w:rsid w:val="00A70B8A"/>
    <w:rsid w:val="00A71B7B"/>
    <w:rsid w:val="00A741DD"/>
    <w:rsid w:val="00A803A4"/>
    <w:rsid w:val="00A841A8"/>
    <w:rsid w:val="00A85C8A"/>
    <w:rsid w:val="00A93AD0"/>
    <w:rsid w:val="00A94EDF"/>
    <w:rsid w:val="00A96B1F"/>
    <w:rsid w:val="00AA21EE"/>
    <w:rsid w:val="00AA7A35"/>
    <w:rsid w:val="00AA7D94"/>
    <w:rsid w:val="00AB01EB"/>
    <w:rsid w:val="00AB2C0F"/>
    <w:rsid w:val="00AB6103"/>
    <w:rsid w:val="00AC10A0"/>
    <w:rsid w:val="00AC160E"/>
    <w:rsid w:val="00AC1E1F"/>
    <w:rsid w:val="00AC3D79"/>
    <w:rsid w:val="00AC5502"/>
    <w:rsid w:val="00AC7112"/>
    <w:rsid w:val="00AC7829"/>
    <w:rsid w:val="00AD3243"/>
    <w:rsid w:val="00AD5310"/>
    <w:rsid w:val="00AE4CCC"/>
    <w:rsid w:val="00AE771D"/>
    <w:rsid w:val="00AF0794"/>
    <w:rsid w:val="00AF3B84"/>
    <w:rsid w:val="00AF52AC"/>
    <w:rsid w:val="00B006FE"/>
    <w:rsid w:val="00B0740D"/>
    <w:rsid w:val="00B11EB3"/>
    <w:rsid w:val="00B12C63"/>
    <w:rsid w:val="00B142B6"/>
    <w:rsid w:val="00B1569C"/>
    <w:rsid w:val="00B15B8C"/>
    <w:rsid w:val="00B16E3F"/>
    <w:rsid w:val="00B16F45"/>
    <w:rsid w:val="00B173B8"/>
    <w:rsid w:val="00B209A4"/>
    <w:rsid w:val="00B23246"/>
    <w:rsid w:val="00B23486"/>
    <w:rsid w:val="00B23B3D"/>
    <w:rsid w:val="00B251EF"/>
    <w:rsid w:val="00B25511"/>
    <w:rsid w:val="00B27851"/>
    <w:rsid w:val="00B27C89"/>
    <w:rsid w:val="00B3162D"/>
    <w:rsid w:val="00B33C0C"/>
    <w:rsid w:val="00B36255"/>
    <w:rsid w:val="00B42FF5"/>
    <w:rsid w:val="00B5192D"/>
    <w:rsid w:val="00B528E0"/>
    <w:rsid w:val="00B546B0"/>
    <w:rsid w:val="00B562A8"/>
    <w:rsid w:val="00B60840"/>
    <w:rsid w:val="00B62135"/>
    <w:rsid w:val="00B623E4"/>
    <w:rsid w:val="00B64C9C"/>
    <w:rsid w:val="00B70AE3"/>
    <w:rsid w:val="00B70BF2"/>
    <w:rsid w:val="00B718FC"/>
    <w:rsid w:val="00B76A95"/>
    <w:rsid w:val="00B8058A"/>
    <w:rsid w:val="00B82BFC"/>
    <w:rsid w:val="00B8591A"/>
    <w:rsid w:val="00B945DE"/>
    <w:rsid w:val="00B96AEB"/>
    <w:rsid w:val="00BA1627"/>
    <w:rsid w:val="00BA2440"/>
    <w:rsid w:val="00BA25D3"/>
    <w:rsid w:val="00BA3B6E"/>
    <w:rsid w:val="00BA4FF6"/>
    <w:rsid w:val="00BA5746"/>
    <w:rsid w:val="00BA5B42"/>
    <w:rsid w:val="00BB043E"/>
    <w:rsid w:val="00BB371F"/>
    <w:rsid w:val="00BB7647"/>
    <w:rsid w:val="00BB7740"/>
    <w:rsid w:val="00BE1603"/>
    <w:rsid w:val="00BE41C4"/>
    <w:rsid w:val="00BE63B7"/>
    <w:rsid w:val="00BF16F3"/>
    <w:rsid w:val="00BF2239"/>
    <w:rsid w:val="00BF2F66"/>
    <w:rsid w:val="00BF3AAE"/>
    <w:rsid w:val="00BF4B7B"/>
    <w:rsid w:val="00C014CB"/>
    <w:rsid w:val="00C02B7F"/>
    <w:rsid w:val="00C10063"/>
    <w:rsid w:val="00C10F6B"/>
    <w:rsid w:val="00C1206F"/>
    <w:rsid w:val="00C169E5"/>
    <w:rsid w:val="00C17F8D"/>
    <w:rsid w:val="00C21752"/>
    <w:rsid w:val="00C2259D"/>
    <w:rsid w:val="00C272DB"/>
    <w:rsid w:val="00C30920"/>
    <w:rsid w:val="00C3221A"/>
    <w:rsid w:val="00C36595"/>
    <w:rsid w:val="00C42527"/>
    <w:rsid w:val="00C47414"/>
    <w:rsid w:val="00C53DC4"/>
    <w:rsid w:val="00C54D2D"/>
    <w:rsid w:val="00C55A64"/>
    <w:rsid w:val="00C56701"/>
    <w:rsid w:val="00C63529"/>
    <w:rsid w:val="00C6353D"/>
    <w:rsid w:val="00C63AE1"/>
    <w:rsid w:val="00C64CDC"/>
    <w:rsid w:val="00C66F12"/>
    <w:rsid w:val="00C67842"/>
    <w:rsid w:val="00C72175"/>
    <w:rsid w:val="00C72C6A"/>
    <w:rsid w:val="00C73CE1"/>
    <w:rsid w:val="00C76326"/>
    <w:rsid w:val="00C80615"/>
    <w:rsid w:val="00C80CD9"/>
    <w:rsid w:val="00C85877"/>
    <w:rsid w:val="00C85D34"/>
    <w:rsid w:val="00C85F42"/>
    <w:rsid w:val="00C92EC2"/>
    <w:rsid w:val="00C93D26"/>
    <w:rsid w:val="00C93DCB"/>
    <w:rsid w:val="00C95F1D"/>
    <w:rsid w:val="00C96E42"/>
    <w:rsid w:val="00CA1732"/>
    <w:rsid w:val="00CA481B"/>
    <w:rsid w:val="00CA4A12"/>
    <w:rsid w:val="00CA6915"/>
    <w:rsid w:val="00CB265E"/>
    <w:rsid w:val="00CB2C65"/>
    <w:rsid w:val="00CB5E19"/>
    <w:rsid w:val="00CB6229"/>
    <w:rsid w:val="00CB7836"/>
    <w:rsid w:val="00CC1FFA"/>
    <w:rsid w:val="00CC230C"/>
    <w:rsid w:val="00CC79D9"/>
    <w:rsid w:val="00CC7C1E"/>
    <w:rsid w:val="00CE2010"/>
    <w:rsid w:val="00CE4B43"/>
    <w:rsid w:val="00CE51DF"/>
    <w:rsid w:val="00CE5296"/>
    <w:rsid w:val="00CE5FF4"/>
    <w:rsid w:val="00CF00AF"/>
    <w:rsid w:val="00CF36A0"/>
    <w:rsid w:val="00CF525F"/>
    <w:rsid w:val="00CF58A2"/>
    <w:rsid w:val="00D01310"/>
    <w:rsid w:val="00D01A1A"/>
    <w:rsid w:val="00D0323A"/>
    <w:rsid w:val="00D03D39"/>
    <w:rsid w:val="00D13D35"/>
    <w:rsid w:val="00D163D9"/>
    <w:rsid w:val="00D2534E"/>
    <w:rsid w:val="00D264A2"/>
    <w:rsid w:val="00D278A9"/>
    <w:rsid w:val="00D31100"/>
    <w:rsid w:val="00D3125A"/>
    <w:rsid w:val="00D352F5"/>
    <w:rsid w:val="00D403B7"/>
    <w:rsid w:val="00D4086D"/>
    <w:rsid w:val="00D40D90"/>
    <w:rsid w:val="00D416A9"/>
    <w:rsid w:val="00D42A55"/>
    <w:rsid w:val="00D43442"/>
    <w:rsid w:val="00D44608"/>
    <w:rsid w:val="00D50176"/>
    <w:rsid w:val="00D5500E"/>
    <w:rsid w:val="00D57197"/>
    <w:rsid w:val="00D5756A"/>
    <w:rsid w:val="00D60FF4"/>
    <w:rsid w:val="00D674C7"/>
    <w:rsid w:val="00D70993"/>
    <w:rsid w:val="00D70E7D"/>
    <w:rsid w:val="00D7158E"/>
    <w:rsid w:val="00D748E3"/>
    <w:rsid w:val="00D74D95"/>
    <w:rsid w:val="00D76D17"/>
    <w:rsid w:val="00D83012"/>
    <w:rsid w:val="00D8485D"/>
    <w:rsid w:val="00D865E8"/>
    <w:rsid w:val="00D87016"/>
    <w:rsid w:val="00D900F2"/>
    <w:rsid w:val="00D91371"/>
    <w:rsid w:val="00D91F5C"/>
    <w:rsid w:val="00D93389"/>
    <w:rsid w:val="00D93D94"/>
    <w:rsid w:val="00D959A4"/>
    <w:rsid w:val="00D9707E"/>
    <w:rsid w:val="00DA05E0"/>
    <w:rsid w:val="00DA2A26"/>
    <w:rsid w:val="00DA33ED"/>
    <w:rsid w:val="00DA56DC"/>
    <w:rsid w:val="00DB391C"/>
    <w:rsid w:val="00DB3F66"/>
    <w:rsid w:val="00DB494B"/>
    <w:rsid w:val="00DB5056"/>
    <w:rsid w:val="00DB5EA7"/>
    <w:rsid w:val="00DB6883"/>
    <w:rsid w:val="00DC6A16"/>
    <w:rsid w:val="00DD0E49"/>
    <w:rsid w:val="00DD1777"/>
    <w:rsid w:val="00DD2C59"/>
    <w:rsid w:val="00DD3180"/>
    <w:rsid w:val="00DD4168"/>
    <w:rsid w:val="00DE2A31"/>
    <w:rsid w:val="00DE386B"/>
    <w:rsid w:val="00DF2A81"/>
    <w:rsid w:val="00DF41A1"/>
    <w:rsid w:val="00DF6B04"/>
    <w:rsid w:val="00E010D5"/>
    <w:rsid w:val="00E02E02"/>
    <w:rsid w:val="00E03613"/>
    <w:rsid w:val="00E037EF"/>
    <w:rsid w:val="00E04B00"/>
    <w:rsid w:val="00E051F5"/>
    <w:rsid w:val="00E07ADA"/>
    <w:rsid w:val="00E1579E"/>
    <w:rsid w:val="00E17531"/>
    <w:rsid w:val="00E17E3D"/>
    <w:rsid w:val="00E2068F"/>
    <w:rsid w:val="00E23576"/>
    <w:rsid w:val="00E26AB3"/>
    <w:rsid w:val="00E27369"/>
    <w:rsid w:val="00E27712"/>
    <w:rsid w:val="00E27854"/>
    <w:rsid w:val="00E34045"/>
    <w:rsid w:val="00E4073B"/>
    <w:rsid w:val="00E40CC2"/>
    <w:rsid w:val="00E44DE7"/>
    <w:rsid w:val="00E45CEF"/>
    <w:rsid w:val="00E46C8D"/>
    <w:rsid w:val="00E50F71"/>
    <w:rsid w:val="00E55B2A"/>
    <w:rsid w:val="00E606CF"/>
    <w:rsid w:val="00E60939"/>
    <w:rsid w:val="00E623A1"/>
    <w:rsid w:val="00E64950"/>
    <w:rsid w:val="00E66470"/>
    <w:rsid w:val="00E707FD"/>
    <w:rsid w:val="00E713FB"/>
    <w:rsid w:val="00E7299A"/>
    <w:rsid w:val="00E77E6D"/>
    <w:rsid w:val="00E8115A"/>
    <w:rsid w:val="00E81351"/>
    <w:rsid w:val="00E82C86"/>
    <w:rsid w:val="00E90828"/>
    <w:rsid w:val="00E960D2"/>
    <w:rsid w:val="00E97D1D"/>
    <w:rsid w:val="00E97F84"/>
    <w:rsid w:val="00EB1626"/>
    <w:rsid w:val="00EB1A17"/>
    <w:rsid w:val="00EB50F2"/>
    <w:rsid w:val="00EB5C40"/>
    <w:rsid w:val="00EB7CEC"/>
    <w:rsid w:val="00EB7FA9"/>
    <w:rsid w:val="00EC0A1A"/>
    <w:rsid w:val="00EC3699"/>
    <w:rsid w:val="00EC3929"/>
    <w:rsid w:val="00EC5B02"/>
    <w:rsid w:val="00EC6239"/>
    <w:rsid w:val="00EC6620"/>
    <w:rsid w:val="00ED223E"/>
    <w:rsid w:val="00ED3541"/>
    <w:rsid w:val="00ED3E33"/>
    <w:rsid w:val="00ED4F1C"/>
    <w:rsid w:val="00ED7928"/>
    <w:rsid w:val="00ED79A5"/>
    <w:rsid w:val="00EE0BD1"/>
    <w:rsid w:val="00EE10A4"/>
    <w:rsid w:val="00EE110B"/>
    <w:rsid w:val="00EE138F"/>
    <w:rsid w:val="00EE4115"/>
    <w:rsid w:val="00EE6D95"/>
    <w:rsid w:val="00EE7590"/>
    <w:rsid w:val="00EE7C4D"/>
    <w:rsid w:val="00EF0F0F"/>
    <w:rsid w:val="00EF122A"/>
    <w:rsid w:val="00EF3B00"/>
    <w:rsid w:val="00EF4C4D"/>
    <w:rsid w:val="00EF714D"/>
    <w:rsid w:val="00F001A7"/>
    <w:rsid w:val="00F004B7"/>
    <w:rsid w:val="00F00AE5"/>
    <w:rsid w:val="00F01635"/>
    <w:rsid w:val="00F01DCE"/>
    <w:rsid w:val="00F0438C"/>
    <w:rsid w:val="00F04BFE"/>
    <w:rsid w:val="00F11C13"/>
    <w:rsid w:val="00F11D31"/>
    <w:rsid w:val="00F138EF"/>
    <w:rsid w:val="00F167C7"/>
    <w:rsid w:val="00F17477"/>
    <w:rsid w:val="00F201DA"/>
    <w:rsid w:val="00F243CC"/>
    <w:rsid w:val="00F260B7"/>
    <w:rsid w:val="00F26C0E"/>
    <w:rsid w:val="00F30908"/>
    <w:rsid w:val="00F33BBA"/>
    <w:rsid w:val="00F37D3C"/>
    <w:rsid w:val="00F41A52"/>
    <w:rsid w:val="00F44005"/>
    <w:rsid w:val="00F459E3"/>
    <w:rsid w:val="00F45B5A"/>
    <w:rsid w:val="00F4623F"/>
    <w:rsid w:val="00F46C82"/>
    <w:rsid w:val="00F4756C"/>
    <w:rsid w:val="00F475D2"/>
    <w:rsid w:val="00F53518"/>
    <w:rsid w:val="00F5499C"/>
    <w:rsid w:val="00F553D3"/>
    <w:rsid w:val="00F55732"/>
    <w:rsid w:val="00F55CA1"/>
    <w:rsid w:val="00F61C01"/>
    <w:rsid w:val="00F62931"/>
    <w:rsid w:val="00F63081"/>
    <w:rsid w:val="00F635B5"/>
    <w:rsid w:val="00F63B2A"/>
    <w:rsid w:val="00F6733B"/>
    <w:rsid w:val="00F834C7"/>
    <w:rsid w:val="00F8603B"/>
    <w:rsid w:val="00F86672"/>
    <w:rsid w:val="00F872DD"/>
    <w:rsid w:val="00F91011"/>
    <w:rsid w:val="00F972C4"/>
    <w:rsid w:val="00FA0B98"/>
    <w:rsid w:val="00FA124D"/>
    <w:rsid w:val="00FA18BB"/>
    <w:rsid w:val="00FA2512"/>
    <w:rsid w:val="00FA4406"/>
    <w:rsid w:val="00FA5B46"/>
    <w:rsid w:val="00FB0ADC"/>
    <w:rsid w:val="00FB0B48"/>
    <w:rsid w:val="00FB1384"/>
    <w:rsid w:val="00FC250A"/>
    <w:rsid w:val="00FD33B4"/>
    <w:rsid w:val="00FD518E"/>
    <w:rsid w:val="00FD5222"/>
    <w:rsid w:val="00FE17E3"/>
    <w:rsid w:val="00FE1EC5"/>
    <w:rsid w:val="00FE1FA2"/>
    <w:rsid w:val="00FE489B"/>
    <w:rsid w:val="00FE55CC"/>
    <w:rsid w:val="00FE64EA"/>
    <w:rsid w:val="00FF05EF"/>
    <w:rsid w:val="010348A9"/>
    <w:rsid w:val="01497A07"/>
    <w:rsid w:val="015A4C98"/>
    <w:rsid w:val="017D2EB3"/>
    <w:rsid w:val="01BD6A93"/>
    <w:rsid w:val="01D81B33"/>
    <w:rsid w:val="020A3368"/>
    <w:rsid w:val="021D3805"/>
    <w:rsid w:val="023A36AB"/>
    <w:rsid w:val="024B700E"/>
    <w:rsid w:val="02590F57"/>
    <w:rsid w:val="02851145"/>
    <w:rsid w:val="028941F7"/>
    <w:rsid w:val="02A82ED9"/>
    <w:rsid w:val="02B13405"/>
    <w:rsid w:val="02D9D929"/>
    <w:rsid w:val="03627DFF"/>
    <w:rsid w:val="0386279E"/>
    <w:rsid w:val="03AF0754"/>
    <w:rsid w:val="03B47A8C"/>
    <w:rsid w:val="03C256ED"/>
    <w:rsid w:val="03FD24C7"/>
    <w:rsid w:val="040C68AA"/>
    <w:rsid w:val="04510F52"/>
    <w:rsid w:val="04774C9C"/>
    <w:rsid w:val="04893A32"/>
    <w:rsid w:val="04931444"/>
    <w:rsid w:val="04A4080F"/>
    <w:rsid w:val="04B871E3"/>
    <w:rsid w:val="04DF7FF4"/>
    <w:rsid w:val="04E0255D"/>
    <w:rsid w:val="050C6164"/>
    <w:rsid w:val="053F295E"/>
    <w:rsid w:val="054C0273"/>
    <w:rsid w:val="056941A8"/>
    <w:rsid w:val="05DC5B0A"/>
    <w:rsid w:val="06246536"/>
    <w:rsid w:val="062A6914"/>
    <w:rsid w:val="06581B20"/>
    <w:rsid w:val="06793709"/>
    <w:rsid w:val="067B76C7"/>
    <w:rsid w:val="06807DC2"/>
    <w:rsid w:val="068349C0"/>
    <w:rsid w:val="068F5881"/>
    <w:rsid w:val="069E3CF0"/>
    <w:rsid w:val="06C717C2"/>
    <w:rsid w:val="06F07621"/>
    <w:rsid w:val="076E230B"/>
    <w:rsid w:val="07711B99"/>
    <w:rsid w:val="07861CF7"/>
    <w:rsid w:val="078711E6"/>
    <w:rsid w:val="07B35E26"/>
    <w:rsid w:val="07B7408C"/>
    <w:rsid w:val="08714188"/>
    <w:rsid w:val="088E33AA"/>
    <w:rsid w:val="089619A0"/>
    <w:rsid w:val="089757FB"/>
    <w:rsid w:val="08CE6686"/>
    <w:rsid w:val="08F105DB"/>
    <w:rsid w:val="09085FF5"/>
    <w:rsid w:val="091B76B2"/>
    <w:rsid w:val="09C37505"/>
    <w:rsid w:val="09D06DE7"/>
    <w:rsid w:val="09DA3F38"/>
    <w:rsid w:val="09F019C0"/>
    <w:rsid w:val="0A070F5F"/>
    <w:rsid w:val="0A11642A"/>
    <w:rsid w:val="0A307CB0"/>
    <w:rsid w:val="0A5C5BD8"/>
    <w:rsid w:val="0A914494"/>
    <w:rsid w:val="0AEA0355"/>
    <w:rsid w:val="0B146070"/>
    <w:rsid w:val="0B3874D5"/>
    <w:rsid w:val="0B4A0C81"/>
    <w:rsid w:val="0B980C9C"/>
    <w:rsid w:val="0BA56E2D"/>
    <w:rsid w:val="0BB531F3"/>
    <w:rsid w:val="0BC562E8"/>
    <w:rsid w:val="0BFC7A58"/>
    <w:rsid w:val="0C0B387E"/>
    <w:rsid w:val="0C2A6CD0"/>
    <w:rsid w:val="0C4A13CB"/>
    <w:rsid w:val="0C805554"/>
    <w:rsid w:val="0C8623E9"/>
    <w:rsid w:val="0D1E5B69"/>
    <w:rsid w:val="0D1E76E4"/>
    <w:rsid w:val="0D250DE4"/>
    <w:rsid w:val="0D2F2122"/>
    <w:rsid w:val="0D765C04"/>
    <w:rsid w:val="0D935E1A"/>
    <w:rsid w:val="0DA455F0"/>
    <w:rsid w:val="0DBB45A0"/>
    <w:rsid w:val="0DDB2D31"/>
    <w:rsid w:val="0DEF1992"/>
    <w:rsid w:val="0E0905F2"/>
    <w:rsid w:val="0E0C5263"/>
    <w:rsid w:val="0E244025"/>
    <w:rsid w:val="0E2B30DF"/>
    <w:rsid w:val="0E9F4817"/>
    <w:rsid w:val="0EB03CAD"/>
    <w:rsid w:val="0EDE0143"/>
    <w:rsid w:val="0EF31EFB"/>
    <w:rsid w:val="0EFA7E17"/>
    <w:rsid w:val="0F4C075C"/>
    <w:rsid w:val="0F917D5A"/>
    <w:rsid w:val="0FB17EE0"/>
    <w:rsid w:val="0FB24916"/>
    <w:rsid w:val="0FB428C3"/>
    <w:rsid w:val="0FBA43A9"/>
    <w:rsid w:val="0FE33669"/>
    <w:rsid w:val="0FEA65BD"/>
    <w:rsid w:val="0FEC3D66"/>
    <w:rsid w:val="0FEFD7EF"/>
    <w:rsid w:val="102B2F33"/>
    <w:rsid w:val="10361A63"/>
    <w:rsid w:val="104D5E6F"/>
    <w:rsid w:val="10531B45"/>
    <w:rsid w:val="1064404D"/>
    <w:rsid w:val="107E0595"/>
    <w:rsid w:val="109A79D6"/>
    <w:rsid w:val="10CD2AD1"/>
    <w:rsid w:val="10D20355"/>
    <w:rsid w:val="115F6544"/>
    <w:rsid w:val="11806BD9"/>
    <w:rsid w:val="11B41CC3"/>
    <w:rsid w:val="12490951"/>
    <w:rsid w:val="127C7431"/>
    <w:rsid w:val="1293405E"/>
    <w:rsid w:val="12A530A9"/>
    <w:rsid w:val="12DF72FB"/>
    <w:rsid w:val="13112DE4"/>
    <w:rsid w:val="135348EC"/>
    <w:rsid w:val="139B22F9"/>
    <w:rsid w:val="14044792"/>
    <w:rsid w:val="142D1F39"/>
    <w:rsid w:val="14851336"/>
    <w:rsid w:val="14AB039F"/>
    <w:rsid w:val="14EE6FDD"/>
    <w:rsid w:val="14FA5D45"/>
    <w:rsid w:val="152A0226"/>
    <w:rsid w:val="152B5429"/>
    <w:rsid w:val="154B2F98"/>
    <w:rsid w:val="15661102"/>
    <w:rsid w:val="15915295"/>
    <w:rsid w:val="15AF2671"/>
    <w:rsid w:val="15C249ED"/>
    <w:rsid w:val="16133C96"/>
    <w:rsid w:val="162C15DE"/>
    <w:rsid w:val="166D522E"/>
    <w:rsid w:val="167E092E"/>
    <w:rsid w:val="169623DA"/>
    <w:rsid w:val="16E06B37"/>
    <w:rsid w:val="170E792B"/>
    <w:rsid w:val="171D566B"/>
    <w:rsid w:val="175B4119"/>
    <w:rsid w:val="178352EB"/>
    <w:rsid w:val="17E37290"/>
    <w:rsid w:val="180A46C8"/>
    <w:rsid w:val="181775E1"/>
    <w:rsid w:val="181A5863"/>
    <w:rsid w:val="181E7B27"/>
    <w:rsid w:val="18425E06"/>
    <w:rsid w:val="18691981"/>
    <w:rsid w:val="18847C5C"/>
    <w:rsid w:val="18C4578C"/>
    <w:rsid w:val="18D05743"/>
    <w:rsid w:val="18F4260E"/>
    <w:rsid w:val="19564CDC"/>
    <w:rsid w:val="19A16094"/>
    <w:rsid w:val="19C9191A"/>
    <w:rsid w:val="19D9008B"/>
    <w:rsid w:val="1A010E6C"/>
    <w:rsid w:val="1A05065E"/>
    <w:rsid w:val="1A1A2E78"/>
    <w:rsid w:val="1A8F7247"/>
    <w:rsid w:val="1A95313F"/>
    <w:rsid w:val="1B1D7F39"/>
    <w:rsid w:val="1B50441F"/>
    <w:rsid w:val="1B7B5E68"/>
    <w:rsid w:val="1B7E69CA"/>
    <w:rsid w:val="1B912574"/>
    <w:rsid w:val="1BBE7C0F"/>
    <w:rsid w:val="1C112469"/>
    <w:rsid w:val="1C1D6099"/>
    <w:rsid w:val="1C4A4D41"/>
    <w:rsid w:val="1C74373B"/>
    <w:rsid w:val="1CB72314"/>
    <w:rsid w:val="1CB90C4C"/>
    <w:rsid w:val="1CDF6825"/>
    <w:rsid w:val="1CF522BC"/>
    <w:rsid w:val="1D000393"/>
    <w:rsid w:val="1D0505C7"/>
    <w:rsid w:val="1D1C3049"/>
    <w:rsid w:val="1D2B3299"/>
    <w:rsid w:val="1D3F3088"/>
    <w:rsid w:val="1D405A14"/>
    <w:rsid w:val="1D88463F"/>
    <w:rsid w:val="1DFF19A9"/>
    <w:rsid w:val="1E753F54"/>
    <w:rsid w:val="1EAA45FA"/>
    <w:rsid w:val="1EB4351D"/>
    <w:rsid w:val="1EE85216"/>
    <w:rsid w:val="1EED45FD"/>
    <w:rsid w:val="1F3872D8"/>
    <w:rsid w:val="1F430948"/>
    <w:rsid w:val="1F475A12"/>
    <w:rsid w:val="1F935355"/>
    <w:rsid w:val="1F9400A6"/>
    <w:rsid w:val="1F983F27"/>
    <w:rsid w:val="1FA055DD"/>
    <w:rsid w:val="1FAE32EB"/>
    <w:rsid w:val="1FB654BD"/>
    <w:rsid w:val="1FC95926"/>
    <w:rsid w:val="1FCD60BC"/>
    <w:rsid w:val="1FE72503"/>
    <w:rsid w:val="1FE8173D"/>
    <w:rsid w:val="1FF5B55A"/>
    <w:rsid w:val="20230F89"/>
    <w:rsid w:val="2083776A"/>
    <w:rsid w:val="20861584"/>
    <w:rsid w:val="208932EA"/>
    <w:rsid w:val="2094486D"/>
    <w:rsid w:val="209956BE"/>
    <w:rsid w:val="20D8655F"/>
    <w:rsid w:val="21002FA0"/>
    <w:rsid w:val="218D1EE1"/>
    <w:rsid w:val="21B4484A"/>
    <w:rsid w:val="221324AD"/>
    <w:rsid w:val="22174325"/>
    <w:rsid w:val="22366F3A"/>
    <w:rsid w:val="22B333E5"/>
    <w:rsid w:val="22B42ADB"/>
    <w:rsid w:val="22D3098D"/>
    <w:rsid w:val="22F40C25"/>
    <w:rsid w:val="230E317D"/>
    <w:rsid w:val="23852D84"/>
    <w:rsid w:val="239B42CB"/>
    <w:rsid w:val="23CA3B97"/>
    <w:rsid w:val="23D36B97"/>
    <w:rsid w:val="247218A9"/>
    <w:rsid w:val="24B214B1"/>
    <w:rsid w:val="24BD72E7"/>
    <w:rsid w:val="24C56C0E"/>
    <w:rsid w:val="25A87740"/>
    <w:rsid w:val="25AA2BBF"/>
    <w:rsid w:val="25C40BE3"/>
    <w:rsid w:val="25F14A20"/>
    <w:rsid w:val="2636100F"/>
    <w:rsid w:val="263C0FEF"/>
    <w:rsid w:val="26AF6DD9"/>
    <w:rsid w:val="26C63526"/>
    <w:rsid w:val="26E972EA"/>
    <w:rsid w:val="26FC5D13"/>
    <w:rsid w:val="273B6FFD"/>
    <w:rsid w:val="27BE462B"/>
    <w:rsid w:val="27BF00B9"/>
    <w:rsid w:val="27D01817"/>
    <w:rsid w:val="27D9503B"/>
    <w:rsid w:val="27E17BEC"/>
    <w:rsid w:val="28225BFC"/>
    <w:rsid w:val="285F085F"/>
    <w:rsid w:val="286B3AE7"/>
    <w:rsid w:val="287D51FD"/>
    <w:rsid w:val="28BC03DD"/>
    <w:rsid w:val="29295A6C"/>
    <w:rsid w:val="293C3130"/>
    <w:rsid w:val="295D77F1"/>
    <w:rsid w:val="29733CAA"/>
    <w:rsid w:val="2A134D0F"/>
    <w:rsid w:val="2A1713CF"/>
    <w:rsid w:val="2A2E0812"/>
    <w:rsid w:val="2AA771A4"/>
    <w:rsid w:val="2AC157C8"/>
    <w:rsid w:val="2AD307DC"/>
    <w:rsid w:val="2AD3380A"/>
    <w:rsid w:val="2AE56D7F"/>
    <w:rsid w:val="2AF56FA8"/>
    <w:rsid w:val="2B264F2E"/>
    <w:rsid w:val="2B3E5B51"/>
    <w:rsid w:val="2B6A3185"/>
    <w:rsid w:val="2BBF3BE2"/>
    <w:rsid w:val="2BCC01E4"/>
    <w:rsid w:val="2BD36FEF"/>
    <w:rsid w:val="2BE04E13"/>
    <w:rsid w:val="2BE7050C"/>
    <w:rsid w:val="2C02220B"/>
    <w:rsid w:val="2C1374B0"/>
    <w:rsid w:val="2C193F3A"/>
    <w:rsid w:val="2C307A81"/>
    <w:rsid w:val="2C393F18"/>
    <w:rsid w:val="2C645C7D"/>
    <w:rsid w:val="2C6A1F8B"/>
    <w:rsid w:val="2C8B64F3"/>
    <w:rsid w:val="2C992F83"/>
    <w:rsid w:val="2CF26D8B"/>
    <w:rsid w:val="2D257C62"/>
    <w:rsid w:val="2D2A7A30"/>
    <w:rsid w:val="2D6E0C20"/>
    <w:rsid w:val="2DC803E1"/>
    <w:rsid w:val="2DC966E6"/>
    <w:rsid w:val="2DCC4F77"/>
    <w:rsid w:val="2DCC6829"/>
    <w:rsid w:val="2DE30989"/>
    <w:rsid w:val="2E104B99"/>
    <w:rsid w:val="2E8B6708"/>
    <w:rsid w:val="2EA05184"/>
    <w:rsid w:val="2ECF049A"/>
    <w:rsid w:val="2EDE2C46"/>
    <w:rsid w:val="2EFB61EE"/>
    <w:rsid w:val="2EFF6819"/>
    <w:rsid w:val="2F683A26"/>
    <w:rsid w:val="2F9C44C5"/>
    <w:rsid w:val="2FC31957"/>
    <w:rsid w:val="301355AF"/>
    <w:rsid w:val="30234729"/>
    <w:rsid w:val="30631613"/>
    <w:rsid w:val="3064030E"/>
    <w:rsid w:val="306617F9"/>
    <w:rsid w:val="30671E7C"/>
    <w:rsid w:val="30BB0CA6"/>
    <w:rsid w:val="30F7ACFC"/>
    <w:rsid w:val="31250FCD"/>
    <w:rsid w:val="31297A53"/>
    <w:rsid w:val="31486DC8"/>
    <w:rsid w:val="318D5109"/>
    <w:rsid w:val="31CA15F6"/>
    <w:rsid w:val="31EE1DD2"/>
    <w:rsid w:val="31FA1AB5"/>
    <w:rsid w:val="32055719"/>
    <w:rsid w:val="320E72B5"/>
    <w:rsid w:val="32291A50"/>
    <w:rsid w:val="322B347F"/>
    <w:rsid w:val="32357269"/>
    <w:rsid w:val="32882046"/>
    <w:rsid w:val="329054E2"/>
    <w:rsid w:val="32CE064B"/>
    <w:rsid w:val="32D31308"/>
    <w:rsid w:val="32DE7034"/>
    <w:rsid w:val="33363B19"/>
    <w:rsid w:val="33B53C0F"/>
    <w:rsid w:val="34065FB8"/>
    <w:rsid w:val="3424246A"/>
    <w:rsid w:val="343C106F"/>
    <w:rsid w:val="3447056B"/>
    <w:rsid w:val="34480317"/>
    <w:rsid w:val="34930DB7"/>
    <w:rsid w:val="350C69C5"/>
    <w:rsid w:val="35272370"/>
    <w:rsid w:val="353E48F8"/>
    <w:rsid w:val="35A265A7"/>
    <w:rsid w:val="35BC071D"/>
    <w:rsid w:val="35EE2469"/>
    <w:rsid w:val="35FC337E"/>
    <w:rsid w:val="35FF0AC2"/>
    <w:rsid w:val="36006860"/>
    <w:rsid w:val="368C7B2A"/>
    <w:rsid w:val="36A50FE0"/>
    <w:rsid w:val="36CE48B4"/>
    <w:rsid w:val="370E72FA"/>
    <w:rsid w:val="37391965"/>
    <w:rsid w:val="37BF20F3"/>
    <w:rsid w:val="37FEC4D9"/>
    <w:rsid w:val="381258D1"/>
    <w:rsid w:val="383F158C"/>
    <w:rsid w:val="3840049F"/>
    <w:rsid w:val="386672CE"/>
    <w:rsid w:val="38A03318"/>
    <w:rsid w:val="38E07134"/>
    <w:rsid w:val="391D493B"/>
    <w:rsid w:val="392F31D3"/>
    <w:rsid w:val="393D78BE"/>
    <w:rsid w:val="394975D9"/>
    <w:rsid w:val="39746A6C"/>
    <w:rsid w:val="39B71E5E"/>
    <w:rsid w:val="39C662EF"/>
    <w:rsid w:val="3A286F6B"/>
    <w:rsid w:val="3A3A52B2"/>
    <w:rsid w:val="3A4E578A"/>
    <w:rsid w:val="3AA9328F"/>
    <w:rsid w:val="3AAC11C7"/>
    <w:rsid w:val="3AC81122"/>
    <w:rsid w:val="3AD72065"/>
    <w:rsid w:val="3B252E06"/>
    <w:rsid w:val="3B3159FD"/>
    <w:rsid w:val="3BC7659F"/>
    <w:rsid w:val="3BE829C8"/>
    <w:rsid w:val="3C141B70"/>
    <w:rsid w:val="3C3230B2"/>
    <w:rsid w:val="3C3D734B"/>
    <w:rsid w:val="3C487DD5"/>
    <w:rsid w:val="3C540B77"/>
    <w:rsid w:val="3C647B8D"/>
    <w:rsid w:val="3C7650D3"/>
    <w:rsid w:val="3CD46E6A"/>
    <w:rsid w:val="3CE560CA"/>
    <w:rsid w:val="3CF76CD0"/>
    <w:rsid w:val="3D5D41E4"/>
    <w:rsid w:val="3DEF4278"/>
    <w:rsid w:val="3E0113C3"/>
    <w:rsid w:val="3E0F1ED9"/>
    <w:rsid w:val="3E5645A6"/>
    <w:rsid w:val="3E7C4D78"/>
    <w:rsid w:val="3EEC70A2"/>
    <w:rsid w:val="3EEE1550"/>
    <w:rsid w:val="3F186647"/>
    <w:rsid w:val="3F2702B3"/>
    <w:rsid w:val="3F373C21"/>
    <w:rsid w:val="3F475B1E"/>
    <w:rsid w:val="3F6539B2"/>
    <w:rsid w:val="3F794799"/>
    <w:rsid w:val="3FB80D44"/>
    <w:rsid w:val="3FD87245"/>
    <w:rsid w:val="3FDF2A12"/>
    <w:rsid w:val="40207F87"/>
    <w:rsid w:val="404721C0"/>
    <w:rsid w:val="4065276D"/>
    <w:rsid w:val="407F582D"/>
    <w:rsid w:val="40B16CCD"/>
    <w:rsid w:val="40B54A04"/>
    <w:rsid w:val="40F53D41"/>
    <w:rsid w:val="41076263"/>
    <w:rsid w:val="41177E9F"/>
    <w:rsid w:val="415F6C38"/>
    <w:rsid w:val="41677BB7"/>
    <w:rsid w:val="418C47ED"/>
    <w:rsid w:val="4196764F"/>
    <w:rsid w:val="41C94521"/>
    <w:rsid w:val="41F24928"/>
    <w:rsid w:val="42031AD9"/>
    <w:rsid w:val="42135017"/>
    <w:rsid w:val="42951AC9"/>
    <w:rsid w:val="42C94EAD"/>
    <w:rsid w:val="42F072B2"/>
    <w:rsid w:val="43307076"/>
    <w:rsid w:val="434D337A"/>
    <w:rsid w:val="43693E14"/>
    <w:rsid w:val="438151CD"/>
    <w:rsid w:val="43EF63E1"/>
    <w:rsid w:val="443059FB"/>
    <w:rsid w:val="444B6801"/>
    <w:rsid w:val="44864FC9"/>
    <w:rsid w:val="44BF2BC8"/>
    <w:rsid w:val="44D80B98"/>
    <w:rsid w:val="44E0456E"/>
    <w:rsid w:val="45A460D8"/>
    <w:rsid w:val="45F42CDB"/>
    <w:rsid w:val="460515B5"/>
    <w:rsid w:val="4642059D"/>
    <w:rsid w:val="46512E84"/>
    <w:rsid w:val="46740F19"/>
    <w:rsid w:val="468A1EE0"/>
    <w:rsid w:val="468C672D"/>
    <w:rsid w:val="46C50A12"/>
    <w:rsid w:val="470B5661"/>
    <w:rsid w:val="47271673"/>
    <w:rsid w:val="47620C95"/>
    <w:rsid w:val="47A00DD4"/>
    <w:rsid w:val="47EA4698"/>
    <w:rsid w:val="48131D6B"/>
    <w:rsid w:val="48725DA9"/>
    <w:rsid w:val="48820BD5"/>
    <w:rsid w:val="488D4017"/>
    <w:rsid w:val="489A14EE"/>
    <w:rsid w:val="48E3369C"/>
    <w:rsid w:val="49307B99"/>
    <w:rsid w:val="4957006A"/>
    <w:rsid w:val="49864F54"/>
    <w:rsid w:val="49BA27A1"/>
    <w:rsid w:val="49C73F62"/>
    <w:rsid w:val="49C849AC"/>
    <w:rsid w:val="49F83B32"/>
    <w:rsid w:val="4A512976"/>
    <w:rsid w:val="4A556FA3"/>
    <w:rsid w:val="4AEF4A29"/>
    <w:rsid w:val="4B824257"/>
    <w:rsid w:val="4BA74874"/>
    <w:rsid w:val="4BC3151C"/>
    <w:rsid w:val="4BE51F92"/>
    <w:rsid w:val="4C05267D"/>
    <w:rsid w:val="4C396185"/>
    <w:rsid w:val="4C5975D5"/>
    <w:rsid w:val="4CAA173E"/>
    <w:rsid w:val="4D1C18E0"/>
    <w:rsid w:val="4D3464F6"/>
    <w:rsid w:val="4D524085"/>
    <w:rsid w:val="4D6B4CBB"/>
    <w:rsid w:val="4D6E4322"/>
    <w:rsid w:val="4D9E1BFC"/>
    <w:rsid w:val="4DA05400"/>
    <w:rsid w:val="4DEF1E90"/>
    <w:rsid w:val="4DFA3E0F"/>
    <w:rsid w:val="4E0512DB"/>
    <w:rsid w:val="4E306781"/>
    <w:rsid w:val="4E3A1445"/>
    <w:rsid w:val="4E527F12"/>
    <w:rsid w:val="4E757C14"/>
    <w:rsid w:val="4E9E54BD"/>
    <w:rsid w:val="4EAE6C75"/>
    <w:rsid w:val="4EDD579D"/>
    <w:rsid w:val="4F133DE9"/>
    <w:rsid w:val="4F6722C8"/>
    <w:rsid w:val="4F796820"/>
    <w:rsid w:val="4F7D7A52"/>
    <w:rsid w:val="4FA44EAE"/>
    <w:rsid w:val="4FAA0662"/>
    <w:rsid w:val="4FAD7637"/>
    <w:rsid w:val="4FC1409A"/>
    <w:rsid w:val="4FC44AB2"/>
    <w:rsid w:val="4FE62197"/>
    <w:rsid w:val="4FE96969"/>
    <w:rsid w:val="4FEC3D3D"/>
    <w:rsid w:val="4FFF7B76"/>
    <w:rsid w:val="5006493D"/>
    <w:rsid w:val="50683CEB"/>
    <w:rsid w:val="506A2CF6"/>
    <w:rsid w:val="50B1336E"/>
    <w:rsid w:val="50FB2627"/>
    <w:rsid w:val="51082A97"/>
    <w:rsid w:val="51231FDE"/>
    <w:rsid w:val="513A33F0"/>
    <w:rsid w:val="513B7D5C"/>
    <w:rsid w:val="51813828"/>
    <w:rsid w:val="518E277C"/>
    <w:rsid w:val="51D27014"/>
    <w:rsid w:val="51D7506B"/>
    <w:rsid w:val="51E53FD4"/>
    <w:rsid w:val="52601E1E"/>
    <w:rsid w:val="52655F01"/>
    <w:rsid w:val="52904384"/>
    <w:rsid w:val="52C3767C"/>
    <w:rsid w:val="52FE4362"/>
    <w:rsid w:val="53011AFF"/>
    <w:rsid w:val="536F2239"/>
    <w:rsid w:val="53C07D44"/>
    <w:rsid w:val="5416000B"/>
    <w:rsid w:val="54722494"/>
    <w:rsid w:val="54A00355"/>
    <w:rsid w:val="54A11A94"/>
    <w:rsid w:val="54AA1034"/>
    <w:rsid w:val="54B01935"/>
    <w:rsid w:val="54F20008"/>
    <w:rsid w:val="550E6098"/>
    <w:rsid w:val="553859E4"/>
    <w:rsid w:val="558969AF"/>
    <w:rsid w:val="55AA173A"/>
    <w:rsid w:val="55C853FD"/>
    <w:rsid w:val="55E15CFD"/>
    <w:rsid w:val="562E7FFF"/>
    <w:rsid w:val="56584F58"/>
    <w:rsid w:val="567B7AC0"/>
    <w:rsid w:val="56831ACD"/>
    <w:rsid w:val="56961F53"/>
    <w:rsid w:val="56A00F98"/>
    <w:rsid w:val="56A758F4"/>
    <w:rsid w:val="56BF732F"/>
    <w:rsid w:val="571421B0"/>
    <w:rsid w:val="57202C97"/>
    <w:rsid w:val="57CB7242"/>
    <w:rsid w:val="57D32261"/>
    <w:rsid w:val="581D273F"/>
    <w:rsid w:val="583449AC"/>
    <w:rsid w:val="58D45A04"/>
    <w:rsid w:val="58DD6234"/>
    <w:rsid w:val="591B0F5F"/>
    <w:rsid w:val="59201247"/>
    <w:rsid w:val="594C5997"/>
    <w:rsid w:val="59C96766"/>
    <w:rsid w:val="59E1365C"/>
    <w:rsid w:val="59E75792"/>
    <w:rsid w:val="59FB7794"/>
    <w:rsid w:val="59FC73D6"/>
    <w:rsid w:val="5A696929"/>
    <w:rsid w:val="5A846665"/>
    <w:rsid w:val="5A9E5C25"/>
    <w:rsid w:val="5AAF213C"/>
    <w:rsid w:val="5B0E2E27"/>
    <w:rsid w:val="5B3C40D7"/>
    <w:rsid w:val="5B4A7344"/>
    <w:rsid w:val="5B541921"/>
    <w:rsid w:val="5B665975"/>
    <w:rsid w:val="5B6D7953"/>
    <w:rsid w:val="5B7F0846"/>
    <w:rsid w:val="5BD503F4"/>
    <w:rsid w:val="5BEB3818"/>
    <w:rsid w:val="5BFD1555"/>
    <w:rsid w:val="5C022324"/>
    <w:rsid w:val="5C0D2757"/>
    <w:rsid w:val="5C2D1164"/>
    <w:rsid w:val="5C7C6104"/>
    <w:rsid w:val="5CDE3370"/>
    <w:rsid w:val="5D712B2E"/>
    <w:rsid w:val="5D7D1FB4"/>
    <w:rsid w:val="5E1116A2"/>
    <w:rsid w:val="5EA64DA3"/>
    <w:rsid w:val="5EAD24A8"/>
    <w:rsid w:val="5EE64D68"/>
    <w:rsid w:val="5F283307"/>
    <w:rsid w:val="5F9E3D44"/>
    <w:rsid w:val="5FA74E51"/>
    <w:rsid w:val="5FCC21D8"/>
    <w:rsid w:val="5FCE03EE"/>
    <w:rsid w:val="5FE82C88"/>
    <w:rsid w:val="607C72B2"/>
    <w:rsid w:val="608B209D"/>
    <w:rsid w:val="60C144B1"/>
    <w:rsid w:val="61207990"/>
    <w:rsid w:val="6141201B"/>
    <w:rsid w:val="6149423B"/>
    <w:rsid w:val="61615C1B"/>
    <w:rsid w:val="61996E40"/>
    <w:rsid w:val="61E4424A"/>
    <w:rsid w:val="62042DB1"/>
    <w:rsid w:val="622409F8"/>
    <w:rsid w:val="623E7084"/>
    <w:rsid w:val="62523DD5"/>
    <w:rsid w:val="626A329A"/>
    <w:rsid w:val="626B7E2D"/>
    <w:rsid w:val="62813186"/>
    <w:rsid w:val="62B26C44"/>
    <w:rsid w:val="62D62AEA"/>
    <w:rsid w:val="63350865"/>
    <w:rsid w:val="634A1394"/>
    <w:rsid w:val="63DCD626"/>
    <w:rsid w:val="63DE4F01"/>
    <w:rsid w:val="63DF3D35"/>
    <w:rsid w:val="63EB0B14"/>
    <w:rsid w:val="6439528E"/>
    <w:rsid w:val="648C004F"/>
    <w:rsid w:val="648C58CF"/>
    <w:rsid w:val="64C61545"/>
    <w:rsid w:val="64CB2502"/>
    <w:rsid w:val="653E9C4E"/>
    <w:rsid w:val="6551152C"/>
    <w:rsid w:val="6566022F"/>
    <w:rsid w:val="658C6495"/>
    <w:rsid w:val="65B12952"/>
    <w:rsid w:val="65BA4A17"/>
    <w:rsid w:val="65CE60DC"/>
    <w:rsid w:val="65F45276"/>
    <w:rsid w:val="6622515B"/>
    <w:rsid w:val="662B6E41"/>
    <w:rsid w:val="663254C8"/>
    <w:rsid w:val="66497E02"/>
    <w:rsid w:val="664E1286"/>
    <w:rsid w:val="6651794C"/>
    <w:rsid w:val="66537296"/>
    <w:rsid w:val="667A4E20"/>
    <w:rsid w:val="668912D5"/>
    <w:rsid w:val="66ED20C1"/>
    <w:rsid w:val="66FD39E9"/>
    <w:rsid w:val="67255108"/>
    <w:rsid w:val="67473FB2"/>
    <w:rsid w:val="674A6D54"/>
    <w:rsid w:val="67537928"/>
    <w:rsid w:val="675C30E1"/>
    <w:rsid w:val="676C607F"/>
    <w:rsid w:val="678866DB"/>
    <w:rsid w:val="67C77CE0"/>
    <w:rsid w:val="67E02DBE"/>
    <w:rsid w:val="67EB7B87"/>
    <w:rsid w:val="67ED4E51"/>
    <w:rsid w:val="68012F84"/>
    <w:rsid w:val="684F3A4E"/>
    <w:rsid w:val="68627147"/>
    <w:rsid w:val="68BE6ACE"/>
    <w:rsid w:val="68DA4C91"/>
    <w:rsid w:val="693F1FFD"/>
    <w:rsid w:val="697A43A3"/>
    <w:rsid w:val="69B97AC0"/>
    <w:rsid w:val="69CA78CA"/>
    <w:rsid w:val="69D424DF"/>
    <w:rsid w:val="69EE1DF1"/>
    <w:rsid w:val="69FD2BE7"/>
    <w:rsid w:val="6A100844"/>
    <w:rsid w:val="6A664FA1"/>
    <w:rsid w:val="6AEC3B54"/>
    <w:rsid w:val="6B490612"/>
    <w:rsid w:val="6B805683"/>
    <w:rsid w:val="6B9233D0"/>
    <w:rsid w:val="6B9C0DDA"/>
    <w:rsid w:val="6BB3778B"/>
    <w:rsid w:val="6BFD5B70"/>
    <w:rsid w:val="6C6C4DC5"/>
    <w:rsid w:val="6C881153"/>
    <w:rsid w:val="6CDE35BB"/>
    <w:rsid w:val="6D381DED"/>
    <w:rsid w:val="6D3F011B"/>
    <w:rsid w:val="6D6671E2"/>
    <w:rsid w:val="6D7D36D7"/>
    <w:rsid w:val="6D7E0984"/>
    <w:rsid w:val="6DB11B64"/>
    <w:rsid w:val="6DF929B9"/>
    <w:rsid w:val="6E371213"/>
    <w:rsid w:val="6E466FCE"/>
    <w:rsid w:val="6E807088"/>
    <w:rsid w:val="6ED62508"/>
    <w:rsid w:val="6EED3A24"/>
    <w:rsid w:val="6EF5DFD2"/>
    <w:rsid w:val="6F0178CB"/>
    <w:rsid w:val="6F0B3B07"/>
    <w:rsid w:val="6F171885"/>
    <w:rsid w:val="6F512795"/>
    <w:rsid w:val="6F572D0B"/>
    <w:rsid w:val="6F596388"/>
    <w:rsid w:val="6F951FAC"/>
    <w:rsid w:val="6F9B158E"/>
    <w:rsid w:val="6FEA4060"/>
    <w:rsid w:val="6FF12B51"/>
    <w:rsid w:val="700E4F4C"/>
    <w:rsid w:val="70237AC2"/>
    <w:rsid w:val="703F34BE"/>
    <w:rsid w:val="708D4FB9"/>
    <w:rsid w:val="709131A6"/>
    <w:rsid w:val="70DD6809"/>
    <w:rsid w:val="70F153E5"/>
    <w:rsid w:val="71191D02"/>
    <w:rsid w:val="713631B9"/>
    <w:rsid w:val="713C2620"/>
    <w:rsid w:val="71650C28"/>
    <w:rsid w:val="717A5BA7"/>
    <w:rsid w:val="71B55B33"/>
    <w:rsid w:val="720D2B3F"/>
    <w:rsid w:val="721C7093"/>
    <w:rsid w:val="72520D02"/>
    <w:rsid w:val="72761137"/>
    <w:rsid w:val="729D6F34"/>
    <w:rsid w:val="730074AA"/>
    <w:rsid w:val="73423A89"/>
    <w:rsid w:val="73471665"/>
    <w:rsid w:val="738A697D"/>
    <w:rsid w:val="738F1832"/>
    <w:rsid w:val="73AC5840"/>
    <w:rsid w:val="73CD53B0"/>
    <w:rsid w:val="73D866E4"/>
    <w:rsid w:val="7414055D"/>
    <w:rsid w:val="741D1EB8"/>
    <w:rsid w:val="742534FD"/>
    <w:rsid w:val="746C559F"/>
    <w:rsid w:val="74A25FFC"/>
    <w:rsid w:val="74B76A43"/>
    <w:rsid w:val="74C92793"/>
    <w:rsid w:val="74CFE6F6"/>
    <w:rsid w:val="74D36EC8"/>
    <w:rsid w:val="75215015"/>
    <w:rsid w:val="755C267F"/>
    <w:rsid w:val="757563B2"/>
    <w:rsid w:val="758C33D9"/>
    <w:rsid w:val="75951574"/>
    <w:rsid w:val="75985E0A"/>
    <w:rsid w:val="75AB122F"/>
    <w:rsid w:val="75EF1AF3"/>
    <w:rsid w:val="76350E39"/>
    <w:rsid w:val="775C0DC9"/>
    <w:rsid w:val="77B5241F"/>
    <w:rsid w:val="77E00405"/>
    <w:rsid w:val="77F55FBB"/>
    <w:rsid w:val="784659EE"/>
    <w:rsid w:val="787313F4"/>
    <w:rsid w:val="787E2E5A"/>
    <w:rsid w:val="78CE0EFE"/>
    <w:rsid w:val="78D5404B"/>
    <w:rsid w:val="78D62145"/>
    <w:rsid w:val="78E314DA"/>
    <w:rsid w:val="79213960"/>
    <w:rsid w:val="7931084E"/>
    <w:rsid w:val="79486D61"/>
    <w:rsid w:val="794F4E86"/>
    <w:rsid w:val="798C262A"/>
    <w:rsid w:val="79AA52A2"/>
    <w:rsid w:val="79DB205C"/>
    <w:rsid w:val="7A0439B1"/>
    <w:rsid w:val="7A06342D"/>
    <w:rsid w:val="7A1F2E36"/>
    <w:rsid w:val="7A6859F0"/>
    <w:rsid w:val="7A8F7EF2"/>
    <w:rsid w:val="7AB67C36"/>
    <w:rsid w:val="7ABC3194"/>
    <w:rsid w:val="7AC82FD3"/>
    <w:rsid w:val="7ADB63FE"/>
    <w:rsid w:val="7AFA3EE3"/>
    <w:rsid w:val="7B340072"/>
    <w:rsid w:val="7B414F6F"/>
    <w:rsid w:val="7BA310AA"/>
    <w:rsid w:val="7BA749BF"/>
    <w:rsid w:val="7BC007EE"/>
    <w:rsid w:val="7C060768"/>
    <w:rsid w:val="7C063996"/>
    <w:rsid w:val="7C1E17B2"/>
    <w:rsid w:val="7C9C42DF"/>
    <w:rsid w:val="7CA05679"/>
    <w:rsid w:val="7CC80957"/>
    <w:rsid w:val="7D017F43"/>
    <w:rsid w:val="7D16747B"/>
    <w:rsid w:val="7D3E426A"/>
    <w:rsid w:val="7D4928F7"/>
    <w:rsid w:val="7D495818"/>
    <w:rsid w:val="7DE13A91"/>
    <w:rsid w:val="7DFA5DED"/>
    <w:rsid w:val="7E746B3C"/>
    <w:rsid w:val="7E7974E2"/>
    <w:rsid w:val="7EF16807"/>
    <w:rsid w:val="7EFF47EA"/>
    <w:rsid w:val="7F1BDBFF"/>
    <w:rsid w:val="7F243053"/>
    <w:rsid w:val="7F2F7A78"/>
    <w:rsid w:val="7F4D4C65"/>
    <w:rsid w:val="7FC513A7"/>
    <w:rsid w:val="7FE45592"/>
    <w:rsid w:val="7FEF4B69"/>
    <w:rsid w:val="7FEF9A95"/>
    <w:rsid w:val="7FFDA746"/>
    <w:rsid w:val="95FB085B"/>
    <w:rsid w:val="977FBC29"/>
    <w:rsid w:val="9FBEBBF3"/>
    <w:rsid w:val="BFAB78E5"/>
    <w:rsid w:val="BFBF6272"/>
    <w:rsid w:val="C51E3C6D"/>
    <w:rsid w:val="C9EEF0E7"/>
    <w:rsid w:val="D5FFC98D"/>
    <w:rsid w:val="D77D765D"/>
    <w:rsid w:val="E7D1F3B9"/>
    <w:rsid w:val="EB579B37"/>
    <w:rsid w:val="F57D4F16"/>
    <w:rsid w:val="FD1CED75"/>
    <w:rsid w:val="FE63CF30"/>
    <w:rsid w:val="FF5AFE4F"/>
    <w:rsid w:val="FFBC8C47"/>
    <w:rsid w:val="FFFBC55F"/>
    <w:rsid w:val="FFFE4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qFormat/>
    <w:uiPriority w:val="0"/>
    <w:pPr>
      <w:spacing w:line="200" w:lineRule="exact"/>
      <w:ind w:firstLine="301"/>
    </w:pPr>
    <w:rPr>
      <w:rFonts w:ascii="宋体" w:hAnsi="Courier New"/>
      <w:spacing w:val="-4"/>
      <w:sz w:val="18"/>
      <w:szCs w:val="20"/>
    </w:rPr>
  </w:style>
  <w:style w:type="paragraph" w:styleId="4">
    <w:name w:val="Normal Indent"/>
    <w:basedOn w:val="1"/>
    <w:qFormat/>
    <w:uiPriority w:val="99"/>
    <w:pPr>
      <w:ind w:firstLine="420"/>
    </w:pPr>
  </w:style>
  <w:style w:type="paragraph" w:styleId="5">
    <w:name w:val="annotation text"/>
    <w:basedOn w:val="1"/>
    <w:unhideWhenUsed/>
    <w:qFormat/>
    <w:uiPriority w:val="99"/>
    <w:pPr>
      <w:jc w:val="left"/>
    </w:pPr>
  </w:style>
  <w:style w:type="paragraph" w:styleId="6">
    <w:name w:val="Body Text"/>
    <w:basedOn w:val="1"/>
    <w:qFormat/>
    <w:uiPriority w:val="0"/>
    <w:pPr>
      <w:jc w:val="center"/>
    </w:pPr>
    <w:rPr>
      <w:rFonts w:ascii="宋体" w:hAnsi="宋体" w:cs="宋体"/>
      <w:b/>
      <w:kern w:val="1"/>
      <w:sz w:val="72"/>
      <w:szCs w:val="20"/>
    </w:rPr>
  </w:style>
  <w:style w:type="paragraph" w:styleId="7">
    <w:name w:val="Plain Text"/>
    <w:basedOn w:val="1"/>
    <w:next w:val="1"/>
    <w:qFormat/>
    <w:uiPriority w:val="0"/>
    <w:rPr>
      <w:rFonts w:ascii="宋体" w:hAnsi="Courier New" w:eastAsia="Times New Roman"/>
      <w:szCs w:val="20"/>
    </w:rPr>
  </w:style>
  <w:style w:type="paragraph" w:styleId="8">
    <w:name w:val="Balloon Text"/>
    <w:basedOn w:val="1"/>
    <w:semiHidden/>
    <w:qFormat/>
    <w:uiPriority w:val="0"/>
    <w:rPr>
      <w:sz w:val="18"/>
      <w:szCs w:val="18"/>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1">
    <w:name w:val="index heading"/>
    <w:basedOn w:val="1"/>
    <w:next w:val="12"/>
    <w:unhideWhenUsed/>
    <w:qFormat/>
    <w:uiPriority w:val="99"/>
    <w:rPr>
      <w:szCs w:val="24"/>
    </w:rPr>
  </w:style>
  <w:style w:type="paragraph" w:styleId="12">
    <w:name w:val="index 1"/>
    <w:basedOn w:val="1"/>
    <w:next w:val="1"/>
    <w:qFormat/>
    <w:uiPriority w:val="0"/>
  </w:style>
  <w:style w:type="paragraph" w:styleId="13">
    <w:name w:val="Normal (Web)"/>
    <w:basedOn w:val="1"/>
    <w:qFormat/>
    <w:uiPriority w:val="0"/>
    <w:pPr>
      <w:spacing w:beforeAutospacing="1" w:afterAutospacing="1"/>
      <w:jc w:val="left"/>
    </w:pPr>
    <w:rPr>
      <w:kern w:val="0"/>
      <w:sz w:val="24"/>
    </w:rPr>
  </w:style>
  <w:style w:type="paragraph" w:styleId="14">
    <w:name w:val="Body Text First Indent"/>
    <w:basedOn w:val="1"/>
    <w:qFormat/>
    <w:uiPriority w:val="0"/>
    <w:pPr>
      <w:ind w:firstLine="420"/>
    </w:pPr>
    <w:rPr>
      <w:kern w:val="0"/>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99"/>
    <w:rPr>
      <w:rFonts w:cs="Times New Roman"/>
    </w:rPr>
  </w:style>
  <w:style w:type="character" w:styleId="19">
    <w:name w:val="FollowedHyperlink"/>
    <w:qFormat/>
    <w:uiPriority w:val="0"/>
    <w:rPr>
      <w:color w:val="000000"/>
      <w:u w:val="none"/>
    </w:rPr>
  </w:style>
  <w:style w:type="character" w:styleId="20">
    <w:name w:val="Emphasis"/>
    <w:qFormat/>
    <w:uiPriority w:val="0"/>
    <w:rPr>
      <w:rFonts w:ascii="Times New Roman" w:hAnsi="Times New Roman" w:eastAsia="宋体" w:cs="Times New Roman"/>
      <w:i/>
      <w:iCs/>
    </w:rPr>
  </w:style>
  <w:style w:type="character" w:styleId="21">
    <w:name w:val="Hyperlink"/>
    <w:qFormat/>
    <w:uiPriority w:val="0"/>
    <w:rPr>
      <w:color w:val="000000"/>
      <w:u w:val="none"/>
    </w:rPr>
  </w:style>
  <w:style w:type="character" w:styleId="22">
    <w:name w:val="annotation reference"/>
    <w:basedOn w:val="17"/>
    <w:unhideWhenUsed/>
    <w:qFormat/>
    <w:uiPriority w:val="99"/>
    <w:rPr>
      <w:sz w:val="21"/>
      <w:szCs w:val="21"/>
    </w:rPr>
  </w:style>
  <w:style w:type="paragraph" w:customStyle="1" w:styleId="23">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4">
    <w:name w:val="xl24"/>
    <w:basedOn w:val="1"/>
    <w:qFormat/>
    <w:uiPriority w:val="0"/>
    <w:pPr>
      <w:widowControl/>
      <w:spacing w:before="100" w:after="100"/>
      <w:jc w:val="center"/>
      <w:textAlignment w:val="center"/>
    </w:pPr>
    <w:rPr>
      <w:rFonts w:ascii="宋体" w:hAnsi="宋体"/>
      <w:kern w:val="0"/>
      <w:sz w:val="24"/>
      <w:szCs w:val="20"/>
    </w:rPr>
  </w:style>
  <w:style w:type="paragraph" w:customStyle="1" w:styleId="25">
    <w:name w:val="Char"/>
    <w:basedOn w:val="1"/>
    <w:qFormat/>
    <w:uiPriority w:val="0"/>
    <w:rPr>
      <w:rFonts w:ascii="Times New Roman" w:hAnsi="Times New Roman"/>
      <w:szCs w:val="24"/>
    </w:rPr>
  </w:style>
  <w:style w:type="paragraph" w:customStyle="1" w:styleId="26">
    <w:name w:val="文一"/>
    <w:basedOn w:val="1"/>
    <w:qFormat/>
    <w:uiPriority w:val="0"/>
    <w:pPr>
      <w:topLinePunct/>
      <w:adjustRightInd w:val="0"/>
      <w:snapToGrid w:val="0"/>
      <w:spacing w:line="360" w:lineRule="auto"/>
      <w:ind w:firstLine="200" w:firstLineChars="200"/>
    </w:pPr>
    <w:rPr>
      <w:snapToGrid w:val="0"/>
      <w:spacing w:val="4"/>
      <w:kern w:val="0"/>
      <w:sz w:val="24"/>
      <w:szCs w:val="24"/>
    </w:rPr>
  </w:style>
  <w:style w:type="paragraph" w:customStyle="1" w:styleId="27">
    <w:name w:val="列表段落1"/>
    <w:basedOn w:val="1"/>
    <w:unhideWhenUsed/>
    <w:qFormat/>
    <w:uiPriority w:val="99"/>
    <w:pPr>
      <w:ind w:firstLine="420" w:firstLineChars="200"/>
    </w:pPr>
  </w:style>
  <w:style w:type="character" w:customStyle="1" w:styleId="28">
    <w:name w:val="页眉 字符"/>
    <w:link w:val="10"/>
    <w:qFormat/>
    <w:uiPriority w:val="0"/>
    <w:rPr>
      <w:rFonts w:ascii="Calibri" w:hAnsi="Calibri"/>
      <w:kern w:val="2"/>
      <w:sz w:val="18"/>
      <w:szCs w:val="18"/>
    </w:rPr>
  </w:style>
  <w:style w:type="character" w:customStyle="1" w:styleId="29">
    <w:name w:val="times"/>
    <w:qFormat/>
    <w:uiPriority w:val="0"/>
    <w:rPr>
      <w:color w:val="CDCDCD"/>
      <w:bdr w:val="single" w:color="CDCDCD" w:sz="6" w:space="0"/>
      <w:shd w:val="clear" w:color="auto" w:fill="EFEFEF"/>
    </w:rPr>
  </w:style>
  <w:style w:type="character" w:customStyle="1" w:styleId="30">
    <w:name w:val="hover42"/>
    <w:basedOn w:val="17"/>
    <w:qFormat/>
    <w:uiPriority w:val="0"/>
  </w:style>
  <w:style w:type="character" w:customStyle="1" w:styleId="31">
    <w:name w:val="times1"/>
    <w:qFormat/>
    <w:uiPriority w:val="0"/>
    <w:rPr>
      <w:color w:val="3399FF"/>
      <w:bdr w:val="single" w:color="D1EDF8" w:sz="6" w:space="0"/>
      <w:shd w:val="clear" w:color="auto" w:fill="EAF9FF"/>
    </w:rPr>
  </w:style>
  <w:style w:type="character" w:customStyle="1" w:styleId="32">
    <w:name w:val="hover30"/>
    <w:basedOn w:val="17"/>
    <w:qFormat/>
    <w:uiPriority w:val="0"/>
  </w:style>
  <w:style w:type="character" w:customStyle="1" w:styleId="33">
    <w:name w:val="hover41"/>
    <w:basedOn w:val="1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2060</Words>
  <Characters>2287</Characters>
  <Lines>228</Lines>
  <Paragraphs>181</Paragraphs>
  <TotalTime>276</TotalTime>
  <ScaleCrop>false</ScaleCrop>
  <LinksUpToDate>false</LinksUpToDate>
  <CharactersWithSpaces>4166</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2019-04-09T06:22:00Z</dcterms:created>
  <dc:creator>User</dc:creator>
  <cp:lastModifiedBy>user</cp:lastModifiedBy>
  <cp:lastPrinted>2023-07-11T19:37:00Z</cp:lastPrinted>
  <dcterms:modified xsi:type="dcterms:W3CDTF">2026-07-20T09:38:20Z</dcterms:modified>
  <dc:title>粤剧艺术博物馆项目环保竣工验收监测服务询价文件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F51C574DEBD32F1E81004B6AF7E2E4C8_43</vt:lpwstr>
  </property>
</Properties>
</file>