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桶装饮用水报价表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32"/>
        <w:gridCol w:w="1620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序号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名称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规格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单价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1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蓝剑冰川时代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天然矿泉水18.9L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2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蓝剑冰川时代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天然矿泉水11.3L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3</w:t>
            </w:r>
          </w:p>
        </w:tc>
        <w:tc>
          <w:tcPr>
            <w:tcW w:w="283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娃哈哈饮用纯净水18.9L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4</w:t>
            </w:r>
          </w:p>
        </w:tc>
        <w:tc>
          <w:tcPr>
            <w:tcW w:w="283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娃哈哈饮用纯净水11.3L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合计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配套服务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left"/>
              <w:textAlignment w:val="auto"/>
              <w:outlineLvl w:val="9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借用饮水机（台式/立式）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2.安装、调试饮水机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、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u w:val="none"/>
                <w:shd w:val="clear"/>
                <w:lang w:val="en-US" w:eastAsia="zh-CN" w:bidi="ar-SA"/>
              </w:rPr>
              <w:t>漏水排查。3.季度上门深度清洗、除垢、杀菌。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082B"/>
    <w:rsid w:val="1D74082B"/>
    <w:rsid w:val="366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2026-05-13T08:38:00Z</dcterms:created>
  <dc:creator>ASUS</dc:creator>
  <cp:lastModifiedBy>ASUS</cp:lastModifiedBy>
  <dcterms:modified xsi:type="dcterms:W3CDTF">2026-05-13T08:38:55Z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95674D6B13BD4D07974FDDF193352524</vt:lpwstr>
  </property>
</Properties>
</file>