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D55B3">
      <w:pPr>
        <w:spacing w:line="640" w:lineRule="exact"/>
        <w:jc w:val="center"/>
        <w:rPr>
          <w:rFonts w:hint="default" w:ascii="Times New Roman" w:hAnsi="Times New Roman" w:eastAsia="方正小标宋简体" w:cs="Times New Roman"/>
          <w:sz w:val="44"/>
          <w:szCs w:val="44"/>
        </w:rPr>
      </w:pPr>
    </w:p>
    <w:p w14:paraId="6E9ECDDA">
      <w:pPr>
        <w:spacing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成都市温江区人民政府</w:t>
      </w:r>
    </w:p>
    <w:p w14:paraId="60730FE9">
      <w:pPr>
        <w:overflowPunct w:val="0"/>
        <w:spacing w:line="700" w:lineRule="exact"/>
        <w:jc w:val="center"/>
        <w:rPr>
          <w:rFonts w:hint="default" w:ascii="Times New Roman" w:hAnsi="Times New Roman" w:eastAsia="方正小标宋简体" w:cs="Times New Roman"/>
          <w:spacing w:val="-6"/>
          <w:sz w:val="44"/>
          <w:szCs w:val="44"/>
        </w:rPr>
      </w:pPr>
      <w:r>
        <w:rPr>
          <w:rFonts w:hint="default" w:ascii="Times New Roman" w:hAnsi="Times New Roman" w:eastAsia="方正小标宋简体" w:cs="Times New Roman"/>
          <w:sz w:val="44"/>
          <w:szCs w:val="44"/>
        </w:rPr>
        <w:t>关于成都市</w:t>
      </w:r>
      <w:r>
        <w:rPr>
          <w:rFonts w:hint="default" w:ascii="Times New Roman" w:hAnsi="Times New Roman" w:eastAsia="方正小标宋简体" w:cs="Times New Roman"/>
          <w:spacing w:val="-6"/>
          <w:sz w:val="44"/>
          <w:szCs w:val="44"/>
        </w:rPr>
        <w:t>温江区2024年国民经济和社会发展</w:t>
      </w:r>
    </w:p>
    <w:p w14:paraId="09A737F7">
      <w:pPr>
        <w:overflowPunct w:val="0"/>
        <w:spacing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计划执行情况及2025年国民经济和社会发展计划草案的报告</w:t>
      </w:r>
    </w:p>
    <w:p w14:paraId="24D6D866">
      <w:pPr>
        <w:spacing w:line="594" w:lineRule="exact"/>
        <w:jc w:val="left"/>
        <w:rPr>
          <w:rFonts w:hint="default" w:ascii="Times New Roman" w:hAnsi="Times New Roman" w:eastAsia="仿宋_GB2312" w:cs="Times New Roman"/>
          <w:sz w:val="32"/>
          <w:szCs w:val="32"/>
        </w:rPr>
      </w:pPr>
    </w:p>
    <w:p w14:paraId="6C4069AD">
      <w:pPr>
        <w:overflowPunct w:val="0"/>
        <w:spacing w:line="574" w:lineRule="exact"/>
        <w:ind w:firstLine="640" w:firstLineChars="200"/>
        <w:rPr>
          <w:rFonts w:hint="default" w:ascii="Times New Roman" w:hAnsi="Times New Roman" w:eastAsia="方正黑体简体" w:cs="Times New Roman"/>
          <w:color w:val="000000"/>
          <w:sz w:val="32"/>
          <w:szCs w:val="32"/>
        </w:rPr>
      </w:pPr>
      <w:r>
        <w:rPr>
          <w:rFonts w:hint="default" w:ascii="Times New Roman" w:hAnsi="Times New Roman" w:eastAsia="方正黑体简体" w:cs="Times New Roman"/>
          <w:color w:val="000000"/>
          <w:sz w:val="32"/>
          <w:szCs w:val="32"/>
        </w:rPr>
        <w:t>一、2024年国民经济和社会发展计划执行情况</w:t>
      </w:r>
    </w:p>
    <w:p w14:paraId="0EBF63F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u w:val="none" w:color="FFFFFF"/>
        </w:rPr>
        <w:t>2024年是中华人民共和国成立75周年，是实现“十四五”规划目标任务的关键一年。</w:t>
      </w:r>
      <w:r>
        <w:rPr>
          <w:rFonts w:hint="default" w:ascii="Times New Roman" w:hAnsi="Times New Roman" w:eastAsia="仿宋_GB2312" w:cs="Times New Roman"/>
          <w:bCs/>
          <w:color w:val="000000"/>
          <w:sz w:val="32"/>
          <w:szCs w:val="32"/>
        </w:rPr>
        <w:t>一年来，面对外部压力加大、内部困难增多的复杂严峻形势和经济下行压力，在</w:t>
      </w:r>
      <w:r>
        <w:rPr>
          <w:rFonts w:hint="default" w:ascii="Times New Roman" w:hAnsi="Times New Roman" w:eastAsia="仿宋_GB2312" w:cs="Times New Roman"/>
          <w:bCs/>
          <w:color w:val="000000"/>
          <w:sz w:val="32"/>
          <w:szCs w:val="32"/>
          <w:u w:val="none" w:color="FFFFFF"/>
        </w:rPr>
        <w:t>党中央国务院</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u w:val="none" w:color="FFFFFF"/>
        </w:rPr>
        <w:t>省委省政府</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u w:val="none" w:color="FFFFFF"/>
        </w:rPr>
        <w:t>市委市政府</w:t>
      </w:r>
      <w:r>
        <w:rPr>
          <w:rFonts w:hint="default" w:ascii="Times New Roman" w:hAnsi="Times New Roman" w:eastAsia="仿宋_GB2312" w:cs="Times New Roman"/>
          <w:bCs/>
          <w:color w:val="000000"/>
          <w:sz w:val="32"/>
          <w:szCs w:val="32"/>
        </w:rPr>
        <w:t>和区委坚强领导下，在区人大、区政协监督支持下，全区上下坚持以习近平新时代中国特色社会主义思想为指导，深入学习贯彻党的二十大和二十届二中、三中全会精神以及习近平总书记对四川工作系列重要指示精神，全面落实省委“四化同步、城乡融合、五区共兴”发展战略和“五个聚焦、五个新篇章”工作要求，全面贯彻市委大力推进成渝地区双城经济圈建设，全面建设践行新发展理念的公园城市示范区，增强“三中心一基地”核心功能</w:t>
      </w:r>
      <w:r>
        <w:rPr>
          <w:rFonts w:hint="default" w:ascii="Times New Roman" w:hAnsi="Times New Roman" w:eastAsia="仿宋_GB2312" w:cs="Times New Roman"/>
          <w:bCs/>
          <w:color w:val="000000"/>
          <w:sz w:val="32"/>
          <w:szCs w:val="32"/>
          <w:u w:val="none" w:color="FFFFFF"/>
        </w:rPr>
        <w:t>决策</w:t>
      </w:r>
      <w:r>
        <w:rPr>
          <w:rFonts w:hint="default" w:ascii="Times New Roman" w:hAnsi="Times New Roman" w:eastAsia="仿宋_GB2312" w:cs="Times New Roman"/>
          <w:bCs/>
          <w:color w:val="000000"/>
          <w:sz w:val="32"/>
          <w:szCs w:val="32"/>
        </w:rPr>
        <w:t>部署和“七个聚力”“八个突出”工作安排，认真执行区十九届人大第五次会议决议，坚持稳中求进工作总基调，科学谋划、沉着应变，以超常决心、超常举措、超常力度综合施策，全力以赴拼经济搞建设、更大力度深化改革开放、因地制宜培育新质生产力、用心用情办好民生实事、有效防范化解重点领域风险，经济运行总体平稳，新动能新优势加快塑造，高质量发展扎实推进，社会大局保持稳定。获评中国社会治理百强区、全省乡村振兴成效显著区等荣誉，四川成都温江高新技术产业园区连续2年被评为省级优秀高新区，温江国家农业科技园区获评省级优秀农业科技园区。</w:t>
      </w:r>
      <w:r>
        <w:rPr>
          <w:rFonts w:hint="default" w:ascii="Times New Roman" w:hAnsi="Times New Roman" w:eastAsia="方正仿宋_GBK" w:cs="Times New Roman"/>
          <w:bCs/>
          <w:sz w:val="32"/>
          <w:szCs w:val="32"/>
        </w:rPr>
        <w:t>创新营建亲邻家园·打造城市治理共同体、西南财经大学落实食品安全主体责任、体教融合工作等入选全国典型案例。</w:t>
      </w:r>
      <w:r>
        <w:rPr>
          <w:rFonts w:hint="default" w:ascii="Times New Roman" w:hAnsi="Times New Roman" w:eastAsia="仿宋_GB2312" w:cs="Times New Roman"/>
          <w:bCs/>
          <w:sz w:val="32"/>
          <w:szCs w:val="32"/>
        </w:rPr>
        <w:t>全国推动城市管理融入基层治理暨城市小微公共空间整治提升工作现场会在温召开。质量强省建设工作获省政府督查激励。高质量举办成都世园会温江分会场活动，以商业化逻辑推进“园子变景点、园区变景区”，获得省市主要领导肯定性批示。</w:t>
      </w:r>
      <w:r>
        <w:rPr>
          <w:rFonts w:hint="default" w:ascii="Times New Roman" w:hAnsi="Times New Roman" w:eastAsia="仿宋_GB2312" w:cs="Times New Roman"/>
          <w:bCs/>
          <w:color w:val="000000"/>
          <w:sz w:val="32"/>
          <w:szCs w:val="32"/>
        </w:rPr>
        <w:t>坚定推进“七个一批”攻坚行动，经济趋势逐月向好，经济支撑不断夯实，全年实现地区生产总值增长</w:t>
      </w:r>
      <w:r>
        <w:rPr>
          <w:rFonts w:hint="eastAsia" w:eastAsia="仿宋_GB2312" w:cs="Times New Roman"/>
          <w:bCs/>
          <w:color w:val="000000"/>
          <w:sz w:val="32"/>
          <w:szCs w:val="32"/>
          <w:lang w:val="en-US" w:eastAsia="zh-CN"/>
        </w:rPr>
        <w:t>4.1%</w:t>
      </w:r>
      <w:r>
        <w:rPr>
          <w:rFonts w:hint="default" w:ascii="Times New Roman" w:hAnsi="Times New Roman" w:eastAsia="仿宋_GB2312" w:cs="Times New Roman"/>
          <w:bCs/>
          <w:color w:val="000000"/>
          <w:sz w:val="32"/>
          <w:szCs w:val="32"/>
        </w:rPr>
        <w:t>；固定资产投资增长</w:t>
      </w:r>
      <w:r>
        <w:rPr>
          <w:rFonts w:hint="eastAsia" w:eastAsia="仿宋_GB2312" w:cs="Times New Roman"/>
          <w:bCs/>
          <w:color w:val="000000"/>
          <w:sz w:val="32"/>
          <w:szCs w:val="32"/>
          <w:lang w:val="en-US" w:eastAsia="zh-CN"/>
        </w:rPr>
        <w:t>8%</w:t>
      </w:r>
      <w:r>
        <w:rPr>
          <w:rFonts w:hint="default" w:ascii="Times New Roman" w:hAnsi="Times New Roman" w:eastAsia="仿宋_GB2312" w:cs="Times New Roman"/>
          <w:bCs/>
          <w:color w:val="000000"/>
          <w:sz w:val="32"/>
          <w:szCs w:val="32"/>
        </w:rPr>
        <w:t>；实现社会消费品零售总额192亿元；地方一般公共预算收入58.93亿元、自然口径增长5.7%；城乡居民人均可支配收入增长与经济增长基本同步。第五次全国经济普查取得阶段性成效。</w:t>
      </w:r>
    </w:p>
    <w:p w14:paraId="3AB5039D">
      <w:pPr>
        <w:overflowPunct w:val="0"/>
        <w:spacing w:line="574"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（一）坚持增存并举促进高质量发展，“3+6”现代化产业体系加快构建</w:t>
      </w:r>
    </w:p>
    <w:p w14:paraId="027F7A82">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地标产业加速集聚。医药健康产业集聚向新力。招引落地聚创医疗、社泰医疗等2个重大产业化项目，举办首届未来XDC新药大会，四川成都温江高新技术产业园区先后上榜全国生物医药专业园区20强、2024产业园区“未来力”指数30强等榜单。海思科、科伦博泰4款1类新药、纽脉生物等11款Ⅲ类医疗器械相继获批上市。百裕制药与诺华集团签订潜在交易额达11亿美元的小分子抗肿瘤药物独家许可协议，海思科、远大医药等入选2024中国医药创新企业百强，百利天恒首次入围全球制药企业市值50强，四川省创新药、核医药、高端医疗器械主要承载地招牌持续擦亮。绿色食品产业加速提能级。形成“一轴一核两区”食品产业空间布局，建成投运全国知名的未来食品产业园，招引落地非常有5万吨预制菜等3个重大产业化项目，举办“2024国际川菜调味产业大会”，统一、顶津上榜2024成都制造业企业100强，圣恩生物被认定为“成都市产业建圈强链人才计划”食品产业链链主企业，温江区入选2024预制菜产业全国基地百强，“川派火锅·味在温江”IP品牌加快打造。现代都市农业特色发展。持续推动国家农业高新技术产业示范区创建，签约引进产业化项目20个，开工建设植物工厂二期等项目5个，建成投运四川农业大学现代农业科技创新研究中心等项目3个。成立全省首个国家农业科技园区产业联合会，新增农业高新技术企业、科技型中小企业5家。深化农商文旅体养融合发展，升级打造古今山林火锅公园、三邑盆景艺术馆等高品质农旅消费场景7个，新获评市级宜居宜业和美乡村消费新场景2个。“温江大蒜”成功入选四川省和成都市农业品牌目录。</w:t>
      </w:r>
    </w:p>
    <w:p w14:paraId="59A91051">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重点和未来产业加速提质。装备制造和印务轻纺稳步发展。签约落地氢航科技、中荣包装等项目7个，开工建设泰捷青云等项目6个，建成投运瑞威科技等项目5个，成都印钞上榜2024全市企业100强，航天烽火伺服机构总装生产线入选国家级智能制造示范工厂，蓝海智能、环龙织物入选四川省2024年定制化生产重点企业，国泰真空、松川雷博入选省级企业技术中心。现代商务和文体旅游优化升级。服务业扩大开放综合试点加快推进，中南高科·智造云谷正式开放，星河IEO总部及科创大厦落成招商，成为温江生产性服务业发展新地标。入园上楼项目14个，新挂牌特色产业楼宇（园区）8栋。举办亚青羽赛、CBA等顶级赛事，开展各类演艺活动300余场次。累计接待旅游人数超2200万人次，旅游综合收入增长10%，获评天府旅游特色县。电子信息和数字经济加速壮大。依托产业联盟及中科源码等链主企业资源优势，前瞻卡位具身智能与机器人等前沿赛道，签约重大产业化项目、校友企业项目共计37个。全年电子信息规上企业产值增长20%，数字经济规上企业营收增长70%。银发经济和低空经济加快布局。揭牌投运温江银发经济孵化器，引导成都中医药大学共建银发经济产业园，组建银发经济企业联盟，举办2024银发经济高质量发展论坛和首届银发经济消费节，被确定为成都发展银发经济核心承载区之一。高位谋划我区低空经济发展方向，成功组建温江区低空经济产业联盟，初步完成全区适飞空域划设，实现鲁家滩凫岛观光场景应用。</w:t>
      </w:r>
    </w:p>
    <w:p w14:paraId="31C7CE6E">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sz w:val="32"/>
          <w:szCs w:val="32"/>
        </w:rPr>
        <w:t>（二）加速科技创新促进成果转化，新质生产力加快</w:t>
      </w:r>
      <w:r>
        <w:rPr>
          <w:rFonts w:hint="default" w:ascii="Times New Roman" w:hAnsi="Times New Roman" w:eastAsia="楷体_GB2312" w:cs="Times New Roman"/>
          <w:sz w:val="32"/>
          <w:szCs w:val="32"/>
          <w:u w:val="none" w:color="FFFFFF"/>
        </w:rPr>
        <w:t>培育</w:t>
      </w:r>
    </w:p>
    <w:p w14:paraId="0AE585B0">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创新平台加快建设。强化“校地企”协同发力，协同电子科技大学共同打造电子科技大学科创谷，落地通信抗干扰国家重点实验室和高层次人才成果转化中心。推动四川省微生物合成与生物制造中试研发平台入选四川省首批中试研发平台，锦弘医疗器械中试基地建成投运，备案市级中试平台6家，分领域认定公共技术服务平台42家，开发公共服务平台线上系统，建立科创资源双向流动线上服务平台。</w:t>
      </w:r>
    </w:p>
    <w:p w14:paraId="11162252">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成果转化成效凸显。成立成果转化联盟，开展“校企双进·找矿挖宝”对接活动20场，全区技术合同登记额突破84亿元。在全省率先探索财政科技资金“先投后股”模式。建成21只覆盖企业全生命周期的产业投资母子基金，促进26个项目在温投资。助力区内企业累计获得“科创贷”6.5亿元。构建“众创空间+孵化器+加速器”全链条孵化体系，新增孵化载体4家，其中省级2家，推动16个企业入驻科技创新载体。</w:t>
      </w:r>
    </w:p>
    <w:p w14:paraId="3DE23DB4">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创新主体加快培育。编制“科技型中小企业—后备高新技术企业—高新技术企业”培育链条，净增国家高新技术企业86家，入库科技型中小企业462家，新入选国家级专精特新“小巨人”企业2家、省级专精特新中小企业50家。印发《成都市温江区科技人才评价改革综合试点方案》，遴选7家科研院所和企业开展科技人才评价改革试点，引进高层次团队5个，新增院士2名、“天府峨眉计划”“蓉漂计划”等人才146人，建成省级院士（专家）创新工作站1家、市级1家。加大科技项目申报支持力度，助力在温企业获批省市科技项目120项。</w:t>
      </w:r>
    </w:p>
    <w:p w14:paraId="74958BD9">
      <w:pPr>
        <w:overflowPunct w:val="0"/>
        <w:spacing w:line="574" w:lineRule="exact"/>
        <w:ind w:firstLine="64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（三）强化招引促建提振消费市场</w:t>
      </w:r>
      <w:r>
        <w:rPr>
          <w:rFonts w:hint="default" w:ascii="Times New Roman" w:hAnsi="Times New Roman" w:eastAsia="楷体_GB2312" w:cs="Times New Roman"/>
          <w:sz w:val="32"/>
          <w:szCs w:val="32"/>
          <w:u w:val="none" w:color="FFFFFF"/>
        </w:rPr>
        <w:t>，</w:t>
      </w:r>
      <w:r>
        <w:rPr>
          <w:rFonts w:hint="default" w:ascii="Times New Roman" w:hAnsi="Times New Roman" w:eastAsia="楷体_GB2312" w:cs="Times New Roman"/>
          <w:sz w:val="32"/>
          <w:szCs w:val="32"/>
        </w:rPr>
        <w:t>有效需求不断扩大</w:t>
      </w:r>
    </w:p>
    <w:p w14:paraId="72C8D58C">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招引模式加速转变。加强基金招商、专业招商、全员招商，制定完善9个产业扶持政策及实施细则，建设智慧招商平台，形成“补空白、强弱项、国产自主化”三张清单，精准实施补链延链强链，开展“区领导+圈链长+小分队+招商专员”多频次、常态化走出去敲门招商行动，组建“产业+投资”复合型专业招商团队，2024年全区新引进重大产业化项目22个</w:t>
      </w:r>
      <w:r>
        <w:rPr>
          <w:rFonts w:hint="eastAsia" w:eastAsia="仿宋_GB2312" w:cs="Times New Roman"/>
          <w:bCs/>
          <w:color w:val="000000"/>
          <w:sz w:val="32"/>
          <w:szCs w:val="32"/>
          <w:lang w:eastAsia="zh-CN"/>
        </w:rPr>
        <w:t>，</w:t>
      </w:r>
      <w:r>
        <w:rPr>
          <w:rFonts w:hint="default" w:ascii="Times New Roman" w:hAnsi="Times New Roman" w:eastAsia="仿宋_GB2312" w:cs="Times New Roman"/>
          <w:bCs/>
          <w:color w:val="000000"/>
          <w:sz w:val="32"/>
          <w:szCs w:val="32"/>
        </w:rPr>
        <w:t>顶尖人才团队5个，产业链关键配套项目13个，进入全市招商引智“红榜”。</w:t>
      </w:r>
    </w:p>
    <w:p w14:paraId="07796AD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项目投资拉动提升。坚持投资优先、项目为王，以“大片区统筹谋划+小片区系统集成”理念，一体推进道路、绿化等基础设施及公服设施建设，新增策划储备项目322个，匡算总投资超1100亿元。完善重大项目促建机制、政府性投资项目前期工作管理服务机制，优化文勘前置、设计先行等前期工作，深化联审联批、联合验收，实施“工业标准地”改革，4个项目实现“拿地即开工”。开展“项目投资百日攻坚”专项行动、“奋战百天 进位争先”攻坚行动，推动每月签约招引一批、开工建设一批、竣工投产一批，全区新入库项目计划总投资同比增长60.4%</w:t>
      </w:r>
      <w:r>
        <w:rPr>
          <w:rFonts w:hint="eastAsia" w:eastAsia="仿宋_GB2312" w:cs="Times New Roman"/>
          <w:bCs/>
          <w:color w:val="000000"/>
          <w:sz w:val="32"/>
          <w:szCs w:val="32"/>
          <w:lang w:eastAsia="zh-CN"/>
        </w:rPr>
        <w:t>，</w:t>
      </w:r>
      <w:r>
        <w:rPr>
          <w:rFonts w:hint="default" w:ascii="Times New Roman" w:hAnsi="Times New Roman" w:eastAsia="仿宋_GB2312" w:cs="Times New Roman"/>
          <w:bCs/>
          <w:color w:val="000000"/>
          <w:sz w:val="32"/>
          <w:szCs w:val="32"/>
        </w:rPr>
        <w:t>45个省市重点项目完成年度投资计划的113.79%。</w:t>
      </w:r>
    </w:p>
    <w:p w14:paraId="41E9E5EA">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消费活力持续恢复。推进国际消费中心城市生态活力区建设，打造时尚光华商圈、乐活凤栖商圈、烟火大学城商圈、潮玩国色天乡商圈“4+N”商圈体系，旭辉Cmall在全市首批16个TOD项目中率先开业，迎晖广场顺利开街，光华商圈晋升为城市级商圈，万盛TOD、花沐里商圈跻身区域级商圈，文庙·印巷等4个项目入选全市百佳消费场景，不二翠浪等21家首店获市级认定，引进特色潮流品牌32个。开展大规模设备更新和消费品以旧换新，举办“温江造”和家电以旧换新“四进”等活动100余场，组织企业参加3轮成都市汽车消费奖励活动、2轮温江区汽车消费奖励活动，累计带动汽车、家电销售额增长6亿余元。策划“花重锦官·春彩温江”二月花市等活动120余场。优化“房票”安置政策，发放3600万元购房（车位）消费券，房地产市场需求不断释放。</w:t>
      </w:r>
    </w:p>
    <w:p w14:paraId="5CF94276">
      <w:pPr>
        <w:overflowPunct w:val="0"/>
        <w:spacing w:line="574"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（四）进一步深化改革扩大开放，市场活力持续迸发</w:t>
      </w:r>
    </w:p>
    <w:p w14:paraId="55FF36A1">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营商环境持续优化。持续用“尺度、速度、温度、力度”打造一流营商环境，深入推进“进万企、解难题、优环境、促发展”常态化服务企业工作，建立区领导、区级部门、园区、镇（街道）“四级联动体系”，通过调研走访、座谈交流等多种渠道收集各类诉求问题2924个，完善诉求问题解决机制，确保诉求问题件件有回音、事事有反馈。深化园区政务服务集成授权改革，推动144项涉企高频政务服务前移到“厂门口”，完善“园区吹哨、部门（镇街）报到”机制，促进监管执法“综合查一次”。召开推进“立园满园”行动暨企业发展大会，集成发布惠企政策、“四张清单”和温江数字名片，帮助企业争取各类财政支持资金7.48亿元，</w:t>
      </w:r>
      <w:r>
        <w:rPr>
          <w:rFonts w:hint="eastAsia" w:eastAsia="仿宋_GB2312" w:cs="Times New Roman"/>
          <w:bCs/>
          <w:color w:val="000000"/>
          <w:sz w:val="32"/>
          <w:szCs w:val="32"/>
          <w:lang w:val="en-US" w:eastAsia="zh-CN"/>
        </w:rPr>
        <w:t>降本减负</w:t>
      </w:r>
      <w:r>
        <w:rPr>
          <w:rFonts w:hint="default" w:ascii="Times New Roman" w:hAnsi="Times New Roman" w:eastAsia="仿宋_GB2312" w:cs="Times New Roman"/>
          <w:bCs/>
          <w:color w:val="000000"/>
          <w:sz w:val="32"/>
          <w:szCs w:val="32"/>
        </w:rPr>
        <w:t>4.48亿元，惠及市场主体6.18万户次。深入推进社会信用体系建设，推广市场主体专用信用报告代替无违法违规证明，推动信用修复“一件事”落地实施，深化招标投标领域系统治理，全区依法必须招标的标段不见面开标率达100%。</w:t>
      </w:r>
    </w:p>
    <w:p w14:paraId="790AE893">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重点领域改革扎实推动。聚焦发展重点难点，探索改革试验，稳步推动12项国家级、16项省级、20项市级改革试点任务，《聚焦国家城乡融合发展试验区建设 成都市温江区加快发展新质生产力》获新华网等报道，《温江区探索水生态产品价值转化新路径》入选全市生态产品价值实现十大典型案例。深入实施国企改革深化提升行动，提前完成优化国有经济产业布局结构等8个领域106项具体改革年度任务，完成区属企业组织重塑专项行动，新增2家AA+主体信用评级企业。深化财税金融改革，形成“绩效优先、成本为重”预算绩效管理机制，全市率先设置金融综合服务窗口。深化医疗保障改革，推进国家医保反欺诈大数据应用监管试点工作，实施药械集采“扩围提质”行动，全年累计节约就医费用4.56亿元。</w:t>
      </w:r>
    </w:p>
    <w:p w14:paraId="023659B4">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对外开放合作更见成效。携手巴南召开温巴党政联席会议，形成51项2024年温巴合作事项清单，共办成都世园会“花系双城”城际协作活动，推动落实184项“川渝通办”事项。共同推进生物医药合作示范园区建设，温江GCP、GLP（巴南）中心为两地生物医药企业提供服务30余家次。融入成都平原经济区一体化发展，在广安岳池县挂牌成立岳池绿色原料药飞地园区，与宜宾屏山县合作共建500亩玫瑰花种植及观光基地，与德阳、资阳、眉山等地强化人力资源合作联动，全年互发招聘岗位8311个。深化与先发区域结对联动，与广州南沙打造创新协同示范基地，推动23个单位与上海长宁区等地区结对谋合作，成功引进广州鼎业生物科技等6家企业。强化毗邻区合作，26个项目纳入全市重点片区建设项目集群，与青羊区形成交通互联共9项合作事项。</w:t>
      </w:r>
    </w:p>
    <w:p w14:paraId="0E534193">
      <w:pPr>
        <w:overflowPunct w:val="0"/>
        <w:spacing w:line="574" w:lineRule="exact"/>
        <w:ind w:firstLine="640" w:firstLineChars="200"/>
        <w:rPr>
          <w:rFonts w:hint="default" w:ascii="Times New Roman" w:hAnsi="Times New Roman" w:eastAsia="楷体_GB2312" w:cs="Times New Roman"/>
          <w:bCs/>
          <w:sz w:val="32"/>
          <w:szCs w:val="32"/>
        </w:rPr>
      </w:pPr>
      <w:r>
        <w:rPr>
          <w:rFonts w:hint="eastAsia" w:ascii="Times New Roman" w:hAnsi="Times New Roman" w:eastAsia="楷体_GB2312" w:cs="Times New Roman"/>
          <w:bCs/>
          <w:sz w:val="32"/>
          <w:szCs w:val="32"/>
          <w:lang w:eastAsia="zh-CN"/>
        </w:rPr>
        <w:t>（</w:t>
      </w:r>
      <w:r>
        <w:rPr>
          <w:rFonts w:hint="eastAsia" w:ascii="Times New Roman" w:hAnsi="Times New Roman" w:eastAsia="楷体_GB2312" w:cs="Times New Roman"/>
          <w:bCs/>
          <w:sz w:val="32"/>
          <w:szCs w:val="32"/>
          <w:lang w:val="en-US" w:eastAsia="zh-CN"/>
        </w:rPr>
        <w:t>五</w:t>
      </w:r>
      <w:r>
        <w:rPr>
          <w:rFonts w:hint="eastAsia" w:ascii="Times New Roman" w:hAnsi="Times New Roman" w:eastAsia="楷体_GB2312" w:cs="Times New Roman"/>
          <w:bCs/>
          <w:sz w:val="32"/>
          <w:szCs w:val="32"/>
          <w:lang w:eastAsia="zh-CN"/>
        </w:rPr>
        <w:t>）</w:t>
      </w:r>
      <w:r>
        <w:rPr>
          <w:rFonts w:hint="default" w:ascii="Times New Roman" w:hAnsi="Times New Roman" w:eastAsia="楷体_GB2312" w:cs="Times New Roman"/>
          <w:bCs/>
          <w:sz w:val="32"/>
          <w:szCs w:val="32"/>
        </w:rPr>
        <w:t>促进城乡融合推动持续发展，公园城市加速呈现</w:t>
      </w:r>
    </w:p>
    <w:p w14:paraId="610747A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两类试点深入推进。加快推进国家城乡融合发展试验区建设和四川省县域内城乡融合改革试点，聚焦“人、地、财”要素制定重点改革、示范场景、典型经验三张清单，形成土地产权作价入股、集体资产股权质押融资等创新工作模式，打造天星村数字游民社区等特色场景，完成健全农村产权抵押担保融资机制等5项改革事项年度任务，成功申报农业农村部农村集体经济组织收益（分配）权质押担保融资试点，创新“乡建合伙”模式打造城乡融合人才聚集高地入选全市城乡融合改革创新案例。</w:t>
      </w:r>
    </w:p>
    <w:p w14:paraId="657C7D75">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四大结构加速调整。切实推动产业结构优化升级，“智改数转”“上云用数赋智”加快推进，新增上云企业466家，建成3个国家级智能制造应用场景、4个省级企业技术中心，新增市级智能工厂和数字化车间22个。绿色生产力加快形成，盘活低效工业用地约815亩，建成国家级绿色工厂5家、省级绿色工厂12家、省级绿色供应链管理企业1家，创新开展涉气企业环境与经济效益协同发展试点，成都海峡两岸科技产业开发园获批全市近零碳排放园区。加大新型能源供给，建成投用涌泉综合能源站、品胜电力等25个分布式光伏项目和一联科技等7个新型储能项目，新建充电桩7465个，组织万春镇成功入选全市唯一国家能源局充电基础设施建设应用推广活动县区。加快交通路网扩面提质，全面开工五环路公平段和凤凰立交，推动农科城区域配套道路等新建续建项目11个加快建设，完工电子产业园配套三路、天润路改造等项目4个，打通浩瀚路、浩欣路两条“断头路”，更新新能源公交车、巡游出租车及驾培车共计140辆。</w:t>
      </w:r>
    </w:p>
    <w:p w14:paraId="1B6EC1A3">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城乡品质不断提升。深入实施城市环境品质提升行动，涌泉康泉社区、公平老场镇片区等5个城中村改造项目启动实施，白马庙市场等城市有机更新项目竣工投用，实施新华大道、蓉台大道等环境品质提升项目130个，改造老旧小区24个，万春东路28号改造项目荣获市级“老旧院落改造最佳公共服务奖”。深入推进宜居宜业和美乡村建设，新培育先行村、重点村7个，加快打造美丽庭院40个，4个农房集聚点位启动建设，完成200栋农房特色风貌改造。构建绿道蓝网交织的公园城市形态，新建天府绿道36公里和“回家的路”社区绿道25条，完工温江区江安河水韵华章（一期）项目，完成水美乡村建设1个，新增立体绿化8000平方米，绿地80公顷，提升打造公园1个、小游园微绿地2个、“金角银边”“美丽街角”场景25个、美丽街道和背街小巷11条。社学巷绿道获评全市“第三届最美回家的路”，时代花汀主题公园获评全市“最美金角银边”。</w:t>
      </w:r>
    </w:p>
    <w:p w14:paraId="532EB133">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三大保卫战成效彰显。全力改善区域空气质量，系统推进工业源、移动源、面源等大气污染重点防治，深入开展成都市西部片区大气污染联防联控，全区质量优良天数293天，同比增加14天；PM2.5平均浓度提前完成“十四五”末期管控目标，首次达到国家二级空气质量标准，2024年累计申报VOCs减排量191吨，新增重污染天气绩效等级B级企业1家、引领性企业3家。统筹推进全区水污染防治，完成58个问题排口验收销号，金马污水处理厂（一期）已建成投运，新增污水处理能力6万吨/日，基本完成天师堰集中式饮用水水源地问题整改，3个省、市考核断面水质全部达到地表水Ⅱ类水质标准，集中式饮用水水源地水质达标率100%。实施污染地块负面清单和用地分类管控，积极开展“无废城市”建设，正式投运餐厨垃圾处理中心（一期）、温江区危险废物暂存中心，扎实开展居民小区有害垃圾收运处置，全区土壤环境质量稳定可控。顺利通过第三轮中央生态环境保护督察，历次央督、省督和长江经济带反馈问题整改全面完成。</w:t>
      </w:r>
    </w:p>
    <w:p w14:paraId="07F2E4B6">
      <w:pPr>
        <w:spacing w:line="574"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（六）做优民生福祉守好安全底线，发展成果人人共享</w:t>
      </w:r>
    </w:p>
    <w:p w14:paraId="2C8C227E">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社会保障扎实有力。大力推进稳就业促增收，开展各类招聘活动184场次，发布就业岗位2.8万余个，举办职业技能提升培训等82场次，实现城镇新增就业6996人，新增吸纳高校毕业生就业创业3550人，推动就业困难人员就业638人，城镇调查失业率控制在5.5%以内，获评省级农民工服务保障工作成效突出单位。持续织牢保险兜底防线，渐进式延迟法定退休年龄改革工作平稳有序，基本养老保险参保率达94%，基本医疗保险户籍参保率达98%以上。精准做好“一老一小”等重点人群保障，4个嵌入式服务设施项目开工建设，普惠型永宁公建民营养老机构二期竣工，在全市率先实现“未保阵地”标准化建设全覆盖。健全完善特殊困难人群“红黄蓝”三色走访关爱机制，“‘温江一家亲’困难群众救助帮扶关爱基金”经验做法在全市推广，慈善事业高质量发展试点绩效评价获全省一等，创塑残疾人家庭无障碍设施地方标准“鱼凫微光”残创品牌被中残联推广。筹集保障性租赁住房802套（间），实现多元化安置4045人。获评省退役军人“三年移交”工作优秀区。对口支援色达、结对帮扶简阳两镇工作高质量推进。</w:t>
      </w:r>
    </w:p>
    <w:p w14:paraId="03670EC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公共服务扩容提质。推动教育公平均衡，加快推进花土东街小学、温江菁才学校等12所中小学、幼儿园新改扩建项目，顺利竣工投用科创中学、川师附属温江实验学校等4所学校，新增学位约1万个。科学规范学区划片调整，全区公办幼儿园在园幼儿占比达63.85%，普惠性幼儿园覆盖率达86.6%。通过义务教育优质均衡发展国家督导评估认定，获评全省首批中小学心理健康教育引领区。推动医疗优质集聚和精准下沉，区妇幼保健院等7个项目加快建设，成都中医药大学附二院开诊，区中医医院成功创建三级乙等，华西医院温江院区二期项目获国家卫健委批准列入待建项目清单，省八一康复中心启动“中西医结合神经康复”省级重点实验室建设，升级21个市场主体医保公服站（点），全区基层医疗机构诊疗量增幅21.67%，全国基层中医药工作示范县创建完成省级评审，母婴安全、计划生育保险等12项工作获省、市级表彰。推动文体服务丰富多元全民共享，创塑以留灯书屋、留炼运动场、留位艺术夜校为代表的“留心”文化服务品牌，推出“平凡人展厅”展览、“月运动·越健康”运动计划等特色文体活动1000余场次。新（改）建文体新空间15处，开放留炼运动场15个，体教融合工作入选全国体教融合典型案例，全民健身工作在全国、全省专题培训（会议）上作经验交流。</w:t>
      </w:r>
    </w:p>
    <w:p w14:paraId="4CC781C4">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社会治理稳妥推进。深入推进“智慧蓉城+微网实格”线上线下联动治理，新建5G基站837个，打造假日监测、内涝预警等智慧应用场景33个，实施“微光聚力”行动，健全网格事项准入等工作机制，推动1.3万余名家庭医生、燃气消防等力量“进网入格”。深入推进小区治理攻坚和“亲邻家园”营建行动，全域配齐“小区八件”，做实社区达人超市、亲邻学院等服务空间102处。评选10名“感恩奋进·因为有你”典型人物，营造“温江一家亲”良好社会氛围。建成120余个“歇一哈儿·小哥驿站”，500余个小哥友好场所，2个做法获全市推广。深化智慧交通建设赋能，建成交通信号灯联网联控路口397个，交通拥堵指数下降9%。</w:t>
      </w:r>
    </w:p>
    <w:p w14:paraId="5407F4A4">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安全保障更加有力。调整完善“安委会+专委会+专业委员会”监管体系，深入开展治本攻坚“三年行动”，全面排查整治各类安全问题隐患，生产安全事故起数和死亡人数均同比下降33%，实现8连降。平安温江建设稳步推进，常态化开展扫黑除恶斗争，刑事案件、传统“盗抢骗”案件立案数分别下降23.4%、42.4%。筑牢基层安全稳定防线，坚持和发展新时代“枫桥经验”，创新建立矛盾纠纷“一站式”多元化解模式，初信初访群众满意率超过98%，27个积案清单件全部化解清零，法院民事一审案件同比下降18.46%，物业服务合同纠纷案件降幅位居全市前列，列管社区矫正对象再犯罪率0%。提质建设“天府粮仓”高质高效展示区，坚决遏制耕地“非农化”、永久基本农田“非粮化”，全面落实耕地保护和粮食安全责任制，完成高标准农田建设5000亩、耕地恢复3380亩，完成粮食、蔬菜（含食用菌）产量约7万吨。不断加强能源安全保障，电网综合承载能力不断提升，220千伏鱼凫站、110千伏体育城站扩建工程提前完成，形成工业园区核心区双电源保障体系，220千伏变电站新增容量24万千瓦、110千伏变电站新增容量6.3万千瓦。有序推行“双改”工作1889户，老旧燃气管线更新改造16.5公里，有效保障迎峰度夏；推动成都市自来水七厂引水主管建设，引入第二水源，加快形成“两主一次八备用”供水格局。坚决遏制新增隐性债务风险，债务率保持在良性区间。</w:t>
      </w:r>
    </w:p>
    <w:p w14:paraId="27FA746D">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我们始终把落实区人大及其常委会决议和审议意见作为依法履职尽责的重大责任、重要任务，主动接受监督指导，高质量回应人大代表建议、政协委员提案，切实将代表、委员的真知灼见吸收转化为做好改革发展稳定工作的实招硬招，努力做到让代表、委员满意、让人民群众受益，办结人大代表建议批评意见225件、政协委员提案178件，切实做到件件有落实、事事有回音。</w:t>
      </w:r>
    </w:p>
    <w:p w14:paraId="7FCB0351">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刚刚过去的2024年，温江发展面对巨大挑战，主要经济指标承压运行。全区上下迎难而上、积极作为，深入推进“奋战百天 进位争先”攻坚行动推动经济社会发展取得新的积极进展，经济回升向好态势得以巩固、高质量发展稳步推进，为实现“十四五”发展目标打下了好的基础。这些成绩殊为不易、难能可贵，根本在于习近平总书记领航掌舵，在于习近平新时代中国特色社会主义思想的科学指引，是党中央国务院坚强领导的结果，是省委省政府、市委市政府高度重视、亲切关怀的结果，是区委总揽全局、科学决策的结果，是区人大和区政协监督指导、大力支持的结果，是全区各部门、各园区、各镇（街）和广大干部群众团结奋进、顽强拼搏的结果。</w:t>
      </w:r>
    </w:p>
    <w:p w14:paraId="71B5342B">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同时，我们也清醒地认识到，当前外部环境的复杂性、严峻性、不确定性明显上升，我区经济运行仍面临不少困难挑战，经济下行压力仍然较大，推动经济社会高质量发展任务仍然艰巨，主要表现在：全区经济仍处于结构调整期、动能转换期，新动能接续尚需时日，支撑高质量发展的产业基础尚不牢固；园区基础承载和规模能级还有差距，科技创新成果转化水平还不高；有效需求不足，消费活力不够，投资稳定增长面临压力；经营主体活力不强，民营经济、民间投资占比仍然不高；群众就业增收面临压力，民生领域补短板、公共服务促均衡还需加力加劲，城市敏捷智慧治理体系还需加快完善，等等。这些困难和问题是空前复杂严峻的外部环境带来的客观存在，是我区经济结构变革和高质量发展进程中必须经历的阵痛，我们将在今后工作中采取有力措施切实加以解决。</w:t>
      </w:r>
    </w:p>
    <w:p w14:paraId="061D532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我们既要正视困难挑战，更要坚定信心决心，充分估量、辩证看待、有效应对、加压突破，更好把准“危”与“机”、统筹“稳”与“进”、抓好“立”与“破”、平衡“攻”与“守”、协同“管”与“放”，以务实乐观的确定性，有效应对经济发展变化的不确定性。我们有条件、有能力、有信心、有底气把各方面积极因素转化为改革发展的实绩实效。</w:t>
      </w:r>
    </w:p>
    <w:p w14:paraId="33E1C0B1">
      <w:pPr>
        <w:overflowPunct w:val="0"/>
        <w:spacing w:line="574" w:lineRule="exact"/>
        <w:ind w:firstLine="640" w:firstLineChars="200"/>
        <w:rPr>
          <w:rFonts w:hint="default" w:ascii="Times New Roman" w:hAnsi="Times New Roman" w:eastAsia="方正黑体简体" w:cs="Times New Roman"/>
          <w:snapToGrid w:val="0"/>
          <w:color w:val="000000"/>
          <w:sz w:val="32"/>
          <w:szCs w:val="32"/>
        </w:rPr>
      </w:pPr>
      <w:r>
        <w:rPr>
          <w:rFonts w:hint="default" w:ascii="Times New Roman" w:hAnsi="Times New Roman" w:eastAsia="方正黑体简体" w:cs="Times New Roman"/>
          <w:snapToGrid w:val="0"/>
          <w:color w:val="000000"/>
          <w:sz w:val="32"/>
          <w:szCs w:val="32"/>
        </w:rPr>
        <w:t>二、2025年国民经济和社会发展总体要求和主要预期目标</w:t>
      </w:r>
    </w:p>
    <w:p w14:paraId="5D1132D5">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lang w:val="zh-TW"/>
        </w:rPr>
        <w:t>2025年是“十四五”规划的收官之年，也是“十五五”规划的谋划之年，</w:t>
      </w:r>
      <w:r>
        <w:rPr>
          <w:rFonts w:hint="default" w:ascii="Times New Roman" w:hAnsi="Times New Roman" w:eastAsia="仿宋_GB2312" w:cs="Times New Roman"/>
          <w:bCs/>
          <w:color w:val="000000"/>
          <w:sz w:val="32"/>
          <w:szCs w:val="32"/>
        </w:rPr>
        <w:t>做好经济社会发展工作意义重大。</w:t>
      </w:r>
    </w:p>
    <w:p w14:paraId="1431FD0B">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snapToGrid w:val="0"/>
          <w:color w:val="000000"/>
          <w:kern w:val="0"/>
          <w:sz w:val="32"/>
          <w:szCs w:val="32"/>
        </w:rPr>
        <w:t>（一）总体要求。</w:t>
      </w:r>
      <w:r>
        <w:rPr>
          <w:rFonts w:hint="default" w:ascii="Times New Roman" w:hAnsi="Times New Roman" w:eastAsia="仿宋_GB2312" w:cs="Times New Roman"/>
          <w:bCs/>
          <w:color w:val="000000"/>
          <w:sz w:val="32"/>
          <w:szCs w:val="32"/>
        </w:rPr>
        <w:t>以习近平新时代中国特色社会主义思想为指导，深入贯彻落实党的二十大和二十届二中、三中全会精神以及习近平总书记对四川工作系列重要指示精神，全面落实党中央国务院、省委省政府、市委市政府和区委决策部署，坚持稳中求进工作总基调，完整准确全面贯彻新发展理念，积极服务和融入构建新发展格局，加快培育发展新质生产力，扎实推动高质量发展，主动融入成渝地区双城经济圈建设、国家战略腹地建设等重大战略，深入落实省委“四化同步、城乡融合、五区共兴”发展战略和“五个聚焦、五个新篇章”工作要求，全面贯彻市委建设践行新发展理念的公园城市示范区、增强“三中心一基地”核心功能等决策部署和锚定“八个着力”全力以赴拼经济、搞建设工作安排，围绕“幸福温江·美好之城”奋斗目标、“三个之区”发展目标和建设“姓温有据”的“3+6”现代化产业体系，进一步全面深化改革，抢抓宏观政策赋能，深入挖掘内需潜力，扩大高水平开放，加快推动科技创新与产业创新融合发展，持续增强经营主体活力、防范化解风险、稳定市场预期、增强社会信心，推动经济持续回升向好，不断提高人民生活水平，保持社会和谐稳定，全力以赴完成“十四五”规划目标任务，为实现“十五五”良好开局打牢基础，为奋力谱写中国式现代化成都新篇章贡献温江力量。</w:t>
      </w:r>
    </w:p>
    <w:p w14:paraId="2C7C952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snapToGrid w:val="0"/>
          <w:color w:val="000000"/>
          <w:kern w:val="0"/>
          <w:sz w:val="32"/>
          <w:szCs w:val="32"/>
        </w:rPr>
        <w:t>（二）主要预期目标。</w:t>
      </w:r>
      <w:r>
        <w:rPr>
          <w:rFonts w:hint="default" w:ascii="Times New Roman" w:hAnsi="Times New Roman" w:eastAsia="仿宋_GB2312" w:cs="Times New Roman"/>
          <w:bCs/>
          <w:color w:val="000000"/>
          <w:sz w:val="32"/>
          <w:szCs w:val="32"/>
        </w:rPr>
        <w:t>着眼持续稳存量、拓增量、扩总量、提质量，综合研判经济形势及发展规律，衔接“十四五”规划目标，综合统筹兼顾需要与可能，提出2025年全区经济社会发展主要预期目标建议如下：</w:t>
      </w:r>
    </w:p>
    <w:p w14:paraId="299E3A92">
      <w:pPr>
        <w:overflowPunct w:val="0"/>
        <w:spacing w:line="574" w:lineRule="exact"/>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 xml:space="preserve">    地区生产总值增长5.7%以上。第一</w:t>
      </w:r>
      <w:r>
        <w:rPr>
          <w:rFonts w:hint="default" w:ascii="Times New Roman" w:hAnsi="Times New Roman" w:eastAsia="仿宋_GB2312" w:cs="Times New Roman"/>
          <w:bCs/>
          <w:color w:val="000000"/>
          <w:sz w:val="32"/>
          <w:szCs w:val="32"/>
          <w:u w:val="none" w:color="FFFFFF"/>
        </w:rPr>
        <w:t>、</w:t>
      </w:r>
      <w:r>
        <w:rPr>
          <w:rFonts w:hint="default" w:ascii="Times New Roman" w:hAnsi="Times New Roman" w:eastAsia="仿宋_GB2312" w:cs="Times New Roman"/>
          <w:bCs/>
          <w:color w:val="000000"/>
          <w:sz w:val="32"/>
          <w:szCs w:val="32"/>
        </w:rPr>
        <w:t>第二、第三产业增加值分别增长2.5%以上、6%以上、6%以上，规上工业增加值增长6.5%以上，建筑业增加值增长5%以上；社会消费品零售总额增长5%以上，固定资产投资总额增长5%以上。“四上企业”研发经费投入增长8%。地方一般公共预算收入增长1.9%以上，城乡居民人均可支配收入增速与经济增长基本同步，城镇调查失业率控制在5.5%左右，居民消费价格指数涨幅</w:t>
      </w:r>
      <w:r>
        <w:rPr>
          <w:rFonts w:hint="default" w:ascii="Times New Roman" w:hAnsi="Times New Roman" w:eastAsia="仿宋_GB2312" w:cs="Times New Roman"/>
          <w:bCs/>
          <w:color w:val="000000"/>
          <w:sz w:val="32"/>
          <w:szCs w:val="32"/>
          <w:u w:val="none" w:color="FFFFFF"/>
        </w:rPr>
        <w:t>3</w:t>
      </w:r>
      <w:r>
        <w:rPr>
          <w:rFonts w:hint="default" w:ascii="Times New Roman" w:hAnsi="Times New Roman" w:eastAsia="仿宋_GB2312" w:cs="Times New Roman"/>
          <w:bCs/>
          <w:color w:val="000000"/>
          <w:sz w:val="32"/>
          <w:szCs w:val="32"/>
        </w:rPr>
        <w:t>%以内。常住人口城镇化率达到79.3%。力争空气质量优良天数不低于295天。做好“十四五”总结评估和“十五五”规划编制。</w:t>
      </w:r>
    </w:p>
    <w:p w14:paraId="0B1CD111">
      <w:pPr>
        <w:overflowPunct w:val="0"/>
        <w:spacing w:line="574" w:lineRule="exact"/>
        <w:ind w:firstLine="640" w:firstLineChars="200"/>
        <w:rPr>
          <w:rFonts w:hint="default" w:ascii="Times New Roman" w:hAnsi="Times New Roman" w:eastAsia="方正黑体简体" w:cs="Times New Roman"/>
          <w:snapToGrid w:val="0"/>
          <w:color w:val="000000"/>
          <w:sz w:val="32"/>
          <w:szCs w:val="32"/>
        </w:rPr>
      </w:pPr>
      <w:r>
        <w:rPr>
          <w:rFonts w:hint="default" w:ascii="Times New Roman" w:hAnsi="Times New Roman" w:eastAsia="方正黑体简体" w:cs="Times New Roman"/>
          <w:snapToGrid w:val="0"/>
          <w:color w:val="000000"/>
          <w:sz w:val="32"/>
          <w:szCs w:val="32"/>
        </w:rPr>
        <w:t>三、2025年国民经济和社会发展的主要任务和措施</w:t>
      </w:r>
    </w:p>
    <w:p w14:paraId="64F8E4B3">
      <w:pPr>
        <w:overflowPunct w:val="0"/>
        <w:spacing w:line="574"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（一）推进“立园满园”，高质量发展现代化产业</w:t>
      </w:r>
    </w:p>
    <w:p w14:paraId="344B7898">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深入推进“五大攻坚”行动立区。鲜明抓经济必须抓园区导向，锚定“产业特色鲜明、四链深度融合、竞争能力突出、运行机制高效”目标，加快形成“1+1+5”推进体系，以指标监测为抓手推进园区高质量发展，按月开展全区和园区经济指标“双调度、双通报”，全力推动产业向园区集聚、企业向园区集中、服务向园区集成。实施园区优化强承载攻坚。科学编制园区规划，划清四至边界、明确目标发展定位、确定产业主攻方向，充分衔接全区“十五五”和国土空间规划，综合园区产业定位布局、前沿细分领域等编制产业规划，围绕优化园区功能分区、补齐配套短板等编制园区用地规划、基础设施和公服配套规划，加快实现“一园区、一规划”，融合优化调整“四大战区”经济地理。聚焦功能布局更科学、功能设置更合理、功能场景更优质，推动实施园区基础设施、公服配套、生态环境补短提质项目，提升园区产城融合度和生活便利度。实施产业集群提能级攻坚。实施“镇园之宝”和企业梯次培优行动，加快构建升规企业种子库、在规企业提质库、链主企业培育库、上市企业储备库“四个库”培育体系，聚焦建链、延链、补链、强链，进一步厘清产业链上中下游各环节的传导机制和价值关系、划出产业链布局图、标注重点关注企业、明确产业链发展的具体需求，优化完善产业图谱，强化市场拓展、场景示范、产业融通、上市辅导等专业化服务，加快构建“头部强、腰部壮、尾部活”的园区企业矩阵，加快推动企业满园。实施科技创新促转化攻坚。聚焦园区主导产业和主攻方向，编制重点产业链技术创新图谱，布局建设概念验证、中试熟化、小批量试生产等中试平台2个以上。推动园区和校区、平台结对发展，探索联合高校院所组建产学研联合实验室，推动国家重点实验室、工程研究中心、技术创新中心等重大创新平台面向重点产业链开展定向研发、定向转化等合作。推动人才和专业服务向园区集聚，力争吸引顶尖人才带团队、带项目入园发展，加速集聚检验检测、技术与认证等专业机构。加快探索“基金+园区”模式，充分发挥投资基金对园区主导产业的支持作用，加快形成全生命周期基金投资体系。实施扩权赋能增活力攻坚。深化园区综合体制改革，厘清园区、部门、镇街责权关系，合理设置工作机构，加快推动区级部门与园区力量整合、工作融合、资源聚合。探索推行“小管委会+大专业公司”开发模式，构建园区承担产业发展、经济管理职能和引育专业化公司承担园区建设、产业投资、运营管理的推进机制。编制《园区管理机构赋权清单》，完善“园区吹哨、部门（镇街）报到”工作机制，建立健全“园镇、园局”融合推进模式，推动更多政务服务窗口向园区延伸，通过“预约办”“上门办”“掌上办”“帮代办”，推动507项政务服务涉企事项线上即办，梳理下沉环评审批服务等119项涉企高频“园区办”政务服务事项，加快实现“园区事园区办、企业办事不出园”。实施尊商重商优环境攻坚。健全园区企业问题诉求直报办理机制，完善园区企业“网格化”服务体系，定期开展“蓉易见”进园区等系列尊商重商活动。将全区重大招引项目纳入园区项目全生命周期闭环服务机制，通过驻点办理、绿色通道等方式主动靠前服务项目谋划招引、落地建设、运营发展全过程，全面提升项目履约率、开工率、达产率。</w:t>
      </w:r>
    </w:p>
    <w:p w14:paraId="01C983C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深入推进先进制造业强区。持续完善重点产业链建圈强链推进机制和调度机制，建立保持制造业合理比重投入机制，“一企一策”支持制造业领域头部企业和产业链关键核心企业，推动企业稳产满产、增加品种、拓展订单、梯次升级、集群发展，力争引育1个产值50亿级、1个10亿级、5个1亿级企业，成都市100强企业上榜4家。提升提质特色优势产业。推动医药制造全链发展，聚焦生物医药产业呈现出创新主导、结构变革和布局扩散三大特征，重点布局蛋白质药物、植入式医疗器械等热点赛道，持续放大生物技术药国家级产业集群影响力和吸引力，加快打造放射性药物省级产业集聚区。推动绿色食品扩产提质，抢抓上市公司基地拓展、企业裂变、投资并购等扩张需求，布局功能食品、特医食品、中央厨房、预制菜等赛道，积极打造“川派火锅·味在温江”调味品牌和供应链体系，引进食品电商、供应链管理、食品安全检测等功能平台，探索推进“绿色食材基地+现代工厂+市场网络+安全餐桌”经营模式，打造食品产业上中下游融通的全产业生态，加快建设占领西部高地的未来食品产业园。推动装备制造能级提升，聚焦加快建设西部重要的高端装备制造基地，深耕工程装备、先进材料等领域，紧密对接链主企业重大项目就近配套需求，更大力度支持重点企业扩产能、拓市场、上台阶，招引落地航空零部件、工程装备、精密机械等领域项目。推动印务轻纺、电子信息转型优化。联动重点企业积极争取总部产能分配和订单份额，借力国家</w:t>
      </w:r>
      <w:r>
        <w:rPr>
          <w:rFonts w:hint="eastAsia" w:eastAsia="仿宋_GB2312" w:cs="Times New Roman"/>
          <w:bCs/>
          <w:color w:val="000000"/>
          <w:sz w:val="32"/>
          <w:szCs w:val="32"/>
          <w:lang w:val="en-US" w:eastAsia="zh-CN"/>
        </w:rPr>
        <w:t>级</w:t>
      </w:r>
      <w:r>
        <w:rPr>
          <w:rFonts w:hint="default" w:ascii="Times New Roman" w:hAnsi="Times New Roman" w:eastAsia="仿宋_GB2312" w:cs="Times New Roman"/>
          <w:bCs/>
          <w:color w:val="000000"/>
          <w:sz w:val="32"/>
          <w:szCs w:val="32"/>
        </w:rPr>
        <w:t>工业设计中心优势，推进先进纺织制品、创意服装设计类企业集群发展，加快重点企业新产线建成投运，加速成长。加快布局银发经济产业，做精做深康复辅具、适老食品、抗衰医美等基础优势赛道，加快推动“康养+金融”“康养+旅游”“康养+医疗”多元融合，特色呈现银发经济消费体验、社区生活、文体教娱三大场景，建设成都市发展银发经济核心承载区。培育培优新兴产业和未来产业。全链条打造温江机器人产业集群，瞄准机器人产业上游零部件、中游整机制造、下游场景应用等关键环节招引一批项目，助力采摘机器人、配药机器人等重点产品在更大场景示范应用形成“出圈”效应。前瞻发力低空经济产业，聚焦航空复合材料制造、无人机整机制造等重点领域，争取承接航空产业核心配套业务，加快引入关键配套企业项目。强化争取低空试点城市空域分类划定，资源导向构建低空基础设施规划布局，依托低空经济联盟、航空运动协会和智能制造企业优势，应用牵引推动无人机认证测试见效成势，融合发展创新旅游观光、城市配送、低空巡检、飞行培训等多元应用场景。协同布局未来产业，探索形成未来产业支持机制，前瞻做好基因治疗、细胞治疗、基因育种、类脑智能、神经调控、脑机接口等前沿核心技术领域布局。</w:t>
      </w:r>
    </w:p>
    <w:p w14:paraId="52F6E7D5">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深入推进现代服务业兴区。强化平台经济与服务载体建设，赋能助力新质生产力发展，持续推进现代服务业规模增长、结构优化、质效提升。专业化高端化发展生产性服务业。提质发展创新型服务。依托CRO等领域领先优势，加速集聚科学服务平台型企业和供应企业，持续提升药物药械研发转化能力。发挥本地配套企业优势，持续招引培育检验检测、产品设计、成果验证等关联领域企业，推动更多链条式服务嵌入制造过程，降低制造业成本。提档发展融通型服务。打造高效能、智慧化供应链和现代物流服务体系，鼓励供应链企业发展壮大。扩面发展功能型服务。开展楼宇“运营提升、数据提能、标识焕新”行动，推动法律、财会、人力资源、互联网医院等服务集聚，加快培育成都市专业特色楼宇，“上楼”服务业项目不少于20个。品质化多样化升级生活性服务业。以推动改善型服务发展为目的，加强智能商店、自动售货机、无人便利店等智慧消费产品植入、多元业态发展、智能结算服务，积极发展即时零售、直播电商等新业态。提升“西行自驾从温江出发”品牌影响力。持续做优高端诊疗服务。</w:t>
      </w:r>
    </w:p>
    <w:p w14:paraId="4082710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深入推进现代都市农业靓区。以创建国家农高区为统揽，加快推进现代都市农业聚优培强，大力推进一二三产业融合发展。科技赋能提升农业现代化水平。发展壮大农业科技，推动“植物工厂”等设施农业向规模化、专业化和产业化方向发展，深挖川农大等高校院所科研资源，推进生物育种产教融合中心等项目加快建设。加快构建现代种业创新发展体系，打造现代种业温江“芯”，开展精品农产品培育，做强“鱼凫尚品”农产品公用品牌和“温江大蒜”“温江酱油”等名优品牌，新培育绿色优质农产品4个以上。农旅融合推进花木产业转型。支持传统花卉企业向创意花卉、庭院景观、家庭园艺等领域转型升级，商业化逻辑系统推进“园子变景点、园区变景区”，加快建设万春“世园风韵”、和盛“天乡花街”、寿安“蜀艺源乡”示范段3个，加快培育农旅融合新消费场景，不断增强“川派盆景”“温江编艺”品牌美誉度和影响力。</w:t>
      </w:r>
    </w:p>
    <w:p w14:paraId="6C94C0B4">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5．深入推进数实融合活区。加快推进智改数转向传统企业赋能。深入推进温江区“智改数转”三年行动计划，抢抓工业领域设备更新政策机遇，支持链主企业联合上下游、左右岸企业同步实施产业链整体技术改造。整合数字化转型服务商、第三方评估机构等资源，为企业提供改得快、转得准、用得起的系统解决方案，力争上云企业200家以上，加快实施技改项目25个和数字化改造企业20家，培育智能工厂2个、数字化车间4个以上。加速培育数字经济向实体经济赋能。聚焦具身机器人、工业互联网、大数据与人工智能等赛道，发挥行业协会、校友会资源优势，全力招引4个数字经济项目。</w:t>
      </w:r>
    </w:p>
    <w:p w14:paraId="00FA8F3D">
      <w:pPr>
        <w:overflowPunct w:val="0"/>
        <w:spacing w:line="574"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（二）扩大消费投资，充分</w:t>
      </w:r>
      <w:r>
        <w:rPr>
          <w:rFonts w:hint="default" w:ascii="Times New Roman" w:hAnsi="Times New Roman" w:eastAsia="楷体_GB2312" w:cs="Times New Roman"/>
          <w:bCs/>
          <w:sz w:val="32"/>
          <w:szCs w:val="32"/>
          <w:u w:val="none" w:color="FFFFFF"/>
        </w:rPr>
        <w:t>化</w:t>
      </w:r>
      <w:r>
        <w:rPr>
          <w:rFonts w:hint="default" w:ascii="Times New Roman" w:hAnsi="Times New Roman" w:eastAsia="楷体_GB2312" w:cs="Times New Roman"/>
          <w:bCs/>
          <w:sz w:val="32"/>
          <w:szCs w:val="32"/>
        </w:rPr>
        <w:t>激发城市活力</w:t>
      </w:r>
    </w:p>
    <w:p w14:paraId="5429A49E">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塑造塑品国际消费中心城市生态活力区。做优节庆活动激发消费潜力。主动融入省市“蜀里安逸”“其乐融蓉”等主题活动，聚焦春节、国庆等重要节庆，谋划新春大庙会、鲁家滩户外生活季等系列文旅消费活动5场以上，高质量举办温江半马、CBA、亚青羽赛等大型体育赛事活动5场以上，力争节庆游客流量增长10%，带动消费5亿元以上。发挥关键品牌引流能力，举办首秀、首展、首演等活动15场，引入品牌首店30家。抢抓政策机遇增强消费动力。抢抓消费品“以旧换新”政策机遇，持续开展限上汽车、家电零售企业“进商圈、进机关、进园区、进社区”活动10场，鼓励汽车品牌连锁新开门店，持续优化APP领券即用等便捷补贴方式，力争发放汽车、家电等领域1500万元消费奖励。布局多元需求提升消费内力。深化消费提品，提档扩容光华商圈等地标，特色发展文庙·印巷、万盛TOD等重点片区和花沐里、江宁南路等社区商业。加快餐饮蝶变，品质呈现酒店餐饮，大力发展夜间经济。做好景区提质，加快创建“新旅游·潮成都”主题旅游目的地2个，整合推出4条文旅路线。适应新需求稳住楼市消费引力。科学制定片区供地计划，持续推进15个项目投资建设，发挥配套资源优势吸引房地产龙头企业来温投资，推动区属国有企业通过多元合作模式加快存量地块开发建设，探索建设一批绿色、低碳、智能、安全的“第四代住宅”。加大城市营销力度，落地落实“房票”安置、住房车位消费券等支持政策，推动房地产市场止跌回稳。</w:t>
      </w:r>
    </w:p>
    <w:p w14:paraId="6E959C8E">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促进项目多投快建扩大产业投资规模。做优策划包装加大政策争取。抢抓“两重”“两新”“十五五”规划等国家战略机遇，抓实城市“里子工程”和生命线工程、“三大工程”等领域，深化“大片区+小片区”思维，聚焦重点推进区域、重点项目区域、重点土地出让区域和重点薄弱区域，统筹谋划、系统策划、梯度计划做大项目策划包装储备库，加大上级预算内资金、超长期特别国债等政策性资金争取力度。主动服务国家战略腹地建设，打通重点产业、配套产业、基础设施、创新支持等承接路径，深入对接国家重大生产力布局和东部沿海地区产业新布局，争取医药健康、装备制造等重点领域项目转移在温布局。做大项目招引建强产业链条。深化以资源为导向的精准招商机制，落实“新形势下招商引资14条”，聚焦园区主攻产业方向加深研究，精准梳理“补空白、强弱项、国产自主”三张清单，培强招商队伍，提升产业大脑招商模型情报服务能力，综合运用产业链招商、以商招商、资本招商、场景招商等模式，集中拜访重点目标企业，常态化举办招商引资推介活动，加快招引一批重大产业化项目。做细专业服务提升项目质效。建立“签约移交、落地投运及见税达产”三段式全覆盖管理机制，创新构建“两机制+一平台”服务保障体系，开工建设项目120个，加快建设项目39个，竣工投产项目47个，提速实施省市重点项目45个。</w:t>
      </w:r>
    </w:p>
    <w:p w14:paraId="05EF8A93">
      <w:pPr>
        <w:overflowPunct w:val="0"/>
        <w:spacing w:line="574" w:lineRule="exact"/>
        <w:ind w:firstLine="640" w:firstLineChars="200"/>
        <w:rPr>
          <w:rFonts w:hint="default" w:ascii="Times New Roman" w:hAnsi="Times New Roman" w:eastAsia="方正黑体简体" w:cs="Times New Roman"/>
          <w:bCs/>
          <w:sz w:val="32"/>
          <w:szCs w:val="32"/>
        </w:rPr>
      </w:pPr>
      <w:r>
        <w:rPr>
          <w:rFonts w:hint="default" w:ascii="Times New Roman" w:hAnsi="Times New Roman" w:eastAsia="楷体_GB2312" w:cs="Times New Roman"/>
          <w:bCs/>
          <w:sz w:val="32"/>
          <w:szCs w:val="32"/>
        </w:rPr>
        <w:t>（三）联动科产融合，特色化发展新质生产力</w:t>
      </w:r>
    </w:p>
    <w:p w14:paraId="7E7A03DB">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以校地院企合作推动成果就地转化。完善校地企合作机制。深化校地合作“一对一”联系服务制度，完善定期会商、专班推进机制，高位推动高校院所高价值成果发现、挖掘和转化工作。鼓励高校院所建设概念验证中心，引入社会资本以更多模式协助早期科技成果开展技术与商业化验证，探索通过先使用后付费方式将科技成果许可给企业使用，分散成果转化的技术与市场风险。推动2家在温国家重点实验室优化重组。全年新增市级以上创新平台5家以上，引进校院企地合作成果转化重点项目20个以上。深化科技成果供需精准对接。以成果转化交易为核心，打造集发布、对接、培训、交易于一体的技转服务平台，完善“公共服务平台+成果转化大厅”的线上线下服务体系，形成校地联动、线上线下互动的科技市场。以成果转化联盟为纽带，充分发挥国家技术转移西南中心温江分中心、技术经纪人的服务效能，常态化开展“校企双进·找矿挖宝”等对接活动15场以上，引进清华大学等高校成果转化基地，力争技术合同交易登记额增长10%。</w:t>
      </w:r>
    </w:p>
    <w:p w14:paraId="09325539">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以创新主体培育提升产业能级。壮大创新企业集群。深入实施“头雁、瞪羚、雏鹰”三大计划，建立和完善科技型企业培育体系，加快打造以高新技术企业、科技型中小企业为核心的创新型企业梯队，形成“入库一批、培育一批、申报一批、认定一批、发展一批”的良好格局。推动全区国家高新技术企业达620家，入库科技型中小企业500家以上，高新技术产业营业收入突破245亿元。新增建设孵化载体2家，引导传统孵化器升级提能，引入孵化项目100个以上。推广应用“企业创新积分制”，覆盖重点企业300家以上。支持企业加强关键核心技术攻关。加快推进高新技术企业和规上企业“双迈进”行动，围绕低空经济、生物医药等重点领域组织实施产业链协同创新项目和技术创新研发项目，聚焦类脑智能、细胞治疗等未来产业新赛道布局重点研发项目，开展关键核心技术攻关5项以上。全社会研发经费投入增长8%以上。</w:t>
      </w:r>
    </w:p>
    <w:p w14:paraId="30AF3791">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以四链融合培育创新生态。培育创新人才。积极组织人才申报国家、省、市人才计划，落地1个国家级外国专家书屋。以建设国家吸引集聚人才平台为牵引，实施产业人才集聚满园行动，深化校（院）企地人才“三向交流”，探索“产业园区运营官”、人才（团队）项目“揭榜挂帅”，启动“营城合伙人”计划，动态调整人才分类目录，推进科技人才评价改革试点，引进高层次人才（团队）4个以上，高层次领军人才30名。开展各级工匠“挖掘、培育、赋能、服务”工作。强化财政金融支持。制定出台温江区金融高质量发展支持政策，推动全区金融机构针对科技企业技术攻关、中小企业市场拓展金融产品，新增“科创贷”5.5亿元。探索科技专项资金“先投后股”创新改革试点，形成“投入—运营—退出—再投入”良性循环。创新设立“投早、投小、投长期、投硬科技”的科技创新基金，健全“财政补贴+先投后股+</w:t>
      </w:r>
      <w:r>
        <w:rPr>
          <w:rFonts w:hint="default" w:ascii="Times New Roman" w:hAnsi="Times New Roman" w:eastAsia="仿宋_GB2312" w:cs="Times New Roman"/>
          <w:bCs/>
          <w:color w:val="000000"/>
          <w:sz w:val="32"/>
          <w:szCs w:val="32"/>
          <w:lang w:val="en-US" w:eastAsia="zh-CN"/>
        </w:rPr>
        <w:t>股权投资基金</w:t>
      </w:r>
      <w:r>
        <w:rPr>
          <w:rFonts w:hint="default" w:ascii="Times New Roman" w:hAnsi="Times New Roman" w:eastAsia="仿宋_GB2312" w:cs="Times New Roman"/>
          <w:bCs/>
          <w:color w:val="000000"/>
          <w:sz w:val="32"/>
          <w:szCs w:val="32"/>
        </w:rPr>
        <w:t>”错位互补的全周期科技金融体系。加强知识产权保护和服务。全链条提升知识产权服务水平，探索以证券化等市场化方式拓宽知识产权价值实现渠道，力争每万人口高价值发明专利拥有量达15.5件。</w:t>
      </w:r>
    </w:p>
    <w:p w14:paraId="4B4C0EE4">
      <w:pPr>
        <w:overflowPunct w:val="0"/>
        <w:spacing w:line="574"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（四）优化发展环境，全方位推动</w:t>
      </w:r>
      <w:r>
        <w:rPr>
          <w:rFonts w:hint="default" w:ascii="Times New Roman" w:hAnsi="Times New Roman" w:eastAsia="楷体_GB2312" w:cs="Times New Roman"/>
          <w:bCs/>
          <w:sz w:val="32"/>
          <w:szCs w:val="32"/>
          <w:u w:val="none" w:color="FFFFFF"/>
        </w:rPr>
        <w:t>民营经济</w:t>
      </w:r>
      <w:r>
        <w:rPr>
          <w:rFonts w:hint="default" w:ascii="Times New Roman" w:hAnsi="Times New Roman" w:eastAsia="楷体_GB2312" w:cs="Times New Roman"/>
          <w:bCs/>
          <w:sz w:val="32"/>
          <w:szCs w:val="32"/>
        </w:rPr>
        <w:t>壮大</w:t>
      </w:r>
    </w:p>
    <w:p w14:paraId="322465C4">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加快营造一流营商环境。健全“进万企、解难题、优环境、促发展”常态长效机制，打造以区民营经济发展促进中心为统揽，以四大战区为主承载，以部门、镇街为基础的“1+4+N”分级分层服务载体，构建网格化惠企服务网络，探索构建以“四度营城”为抓手的营商环境指标监测体系，建立“监测—分析—反馈—提升”闭环式工作模式。提升柔性执法“尺度”，认真践行“三个都可以”承诺，打破各类隐形门槛壁垒，严格落实市场准入负面清单制度，深入推进包容审慎监管，推广“综合查一次”联合执法，优化调整“首违不罚”范围。提升政务服务“速度”，持续深化“三个要效率”，实施“高效办成一件事”改革，“一网通办”事项全程网办率达100%，推动内外部流程再造，持续优化项目联审联批联验、社会投资项目帮办代办等工作机制。提升主动服务“温度”，深入开展“三个好服务”，进一步优化涉企体制机制，整合涉企服务力量，落实落细“三员合一”“微网实格”包保责任制，健全12345企业诉求提速提级处置机制，综合满意度超85%，常态化开展提醒服务。提升助企惠企“力度”，全力做好“三个问企业”，强化惠企政策统筹管理，优化政策制定、发布、审批、兑现、评估等各环节工作机制，推动惠企政策免申即享、易申快享，力争惠企政策免申即享率达20%。建立健全西部地区鼓励类产业目录认定协调机制，推动企业所得税减征政策落实到位。持续帮助企业开展各类校企、银企供需对接活动。</w:t>
      </w:r>
    </w:p>
    <w:p w14:paraId="37881F93">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加大激发民营经济活力。搭建供需对接平台。引导龙头企业、链主企业开放供应链生态圈，搭建上下游、左右岸交流对接平台，精选主题定期举办“蓉易见”政企面对面交流活动，常态化发布机会清单，扩大政府采购民营中小企业产品比例，支持民营企业参与重大基础设施和公共事业领域项目建设。健全服务保障体系。建立健全民营经济统计工作机制和监测评价指标体系，实施民营中小企业成长工程，支持推动“个转企”，建立支持小微企业融资协调机制，完善民营企业融资风险市场化分担机制。落实降低全社会物流成本专项行动，健全完善拖欠企业账款常态化预防和专项清理机制，全面清理行业协会商会、各类机构违规收费项目和摊派事项。</w:t>
      </w:r>
    </w:p>
    <w:p w14:paraId="4BB7CB50">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加强稳定外资外贸。培育壮大外贸主体。实施外贸主体培育行动，建立多主体参与的产贸联动供需对接机制，打造外贸综合服务平台，提升医药研发、装备制造等领域企业国际竞争力，培育绿色食品、现代都市农业领域企业，引育跨境电商、国际贸易等外贸增量企业5家。持续开展“温江造”出海行动，支持企业主动开拓“一带一路”等国际市场，引导企业借势进博会、服贸会、广交会等国际性展会布局全球销售网络，全年举办“产贸联动·千企出海”“蓉品出川出海”等活动20场以上，推动“温江造”优质产品“全球销”。做靓以医药健康为特色的知识密集型服务贸易品牌。加大外资招引力度。持续拓宽全球招商网络，聚焦重点产业链加力引进先进制造型和生产服务型龙头企业、总部项目，鼓励存量外资企业拓展途径增资扩股，力争新设外商投资企业10家，外商直接投资（FDI）达8800万美元以上。</w:t>
      </w:r>
    </w:p>
    <w:p w14:paraId="03F5F040">
      <w:pPr>
        <w:overflowPunct w:val="0"/>
        <w:spacing w:line="574" w:lineRule="exact"/>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（五）全面深化改革开放，系统性增强内生动力</w:t>
      </w:r>
    </w:p>
    <w:p w14:paraId="17406E31">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靶向发力推动重大改革。深化国资国企改革。持续开展国企改革深化提升行动，围绕8个方面31项功能性和体制机制性改革重点任务集中攻坚，强化国企负债规模和资产负债率“双控”约束，增强国资基金“战略资本”“耐心资本”功能和产业带动作用，持续优化覆盖全业务体系和链接企业全级次管理的国资监管信息系统，推动国有闲置资产专业化整治和产业化利用。深化国企去行政化改革，实行以定量考核为主的全员绩效考核，严格落实管理人员强制性末等调整及不胜任退出制度。深化自贸区改革。持续深化进出境特殊物品“关地协同”及跨关区联合风评机制，优化升级成都医学城研发供应链服务平台，鼓励企业开展生物医药“白名单”及AEO高级认证企业认定，畅通生物医药研发物品进境通道，争创全省首批生物医药服务贸易基地，积极争取生物制品分段生产试点。加快推进跨直属关区的进境种苗“两段准入—附条件提离”便利化措施落地生效，打通温江种苗、种球（活体植物）铁路运输进境通道，实现种苗通过蓉欧快铁进口“首单”。深化土地资源利用改革。坚持“亩均论英雄”，推动土地混合开发利用和空间复合利用，切实优化供地举措，确保产业园区工业用地供应计划单列管理和100%“标准地”出让，加大工业用地保障力度。深化农村土地“三权分置”改革，深入推进全国农村产权流转交易规范化试点建设，出台农村土地经营权流转管理办法。多形式盘活农村闲置宅基地和农房，提速建设首批农房集聚点4个。稳妥有序推进农村集体经济组织使用农村集体建设用地兴办企业或以农村集体建设用地使用权入股、联营等形式共同举办企业。深化要素市场化改革。推进劳动、资本、知识、技术、管理、数据等要素市场化改革，完善生产要素由市场评价贡献、按贡献决定报酬的机制。深化水电气联办、小微工程项目建设等领域要素保障改革，完善价格补贴机制，强化水、燃气等成本监审结果应用，加大企业用能保障力度。推动数据要素资产化改革，健全“公共数据资源池”系统。落实全国标准指引，坚持公平竞争审查刚性约束，完善区域公平竞争审查工作机制，持续探索公平竞争审查跨区域、跨部门协作。</w:t>
      </w:r>
    </w:p>
    <w:p w14:paraId="597C195E">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不断深化区域合作。推进成渝双圈双核联动。持续强化成都医学城研发供应链服务平台建设，全年为两地生物医药企业提供服务20家次以上，促进两地企业产品、原料互购10次以上。深化中药材“种苗培育在温江、规模种植在巴南”合作模式，推动温巴220亩金银花种植产业合作项目落地成势。推动《深化成渝地区双城经济圈交通运输区港物流协同一体化发展合作协议》签订，建立温巴区港物流联动制度。联合巴南组织两地企业参与西洽会等大型展会，举办“啤酒季”“火锅节”等促消费活动，加快形成双核商贸发展合力。持续促进与巴南等地卫健教育系统开展学科共建和互派跟岗研修，全年开展教学培训等活动20次以上，推进225项“川渝通办”事项持续办理。提升重点区域合作质效。持续推进重点片区建设工作，推动环电子科大林盘新经济示范区建设，强化医疗健康、人工智能等领域产业化项目招引、包装、投建。密切对接青羊、郫都等毗邻区域，联合推进交通互联事项。持续推进与先发区域结对联动，推动温江南沙自贸试验区协同开放发展合作。巩固成德眉资人力资源平台建设，全年通过各类平台向德眉资地区发送岗位信息8000条以上。</w:t>
      </w:r>
    </w:p>
    <w:p w14:paraId="3522C477">
      <w:pPr>
        <w:overflowPunct w:val="0"/>
        <w:spacing w:line="574"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（六）统筹城乡融合，协同</w:t>
      </w:r>
      <w:r>
        <w:rPr>
          <w:rFonts w:hint="default" w:ascii="Times New Roman" w:hAnsi="Times New Roman" w:eastAsia="楷体_GB2312" w:cs="Times New Roman"/>
          <w:bCs/>
          <w:sz w:val="32"/>
          <w:szCs w:val="32"/>
          <w:u w:val="none" w:color="FFFFFF"/>
        </w:rPr>
        <w:t>化</w:t>
      </w:r>
      <w:r>
        <w:rPr>
          <w:rFonts w:hint="default" w:ascii="Times New Roman" w:hAnsi="Times New Roman" w:eastAsia="楷体_GB2312" w:cs="Times New Roman"/>
          <w:bCs/>
          <w:sz w:val="32"/>
          <w:szCs w:val="32"/>
        </w:rPr>
        <w:t>推进区域均衡发展</w:t>
      </w:r>
    </w:p>
    <w:p w14:paraId="1C0F079A">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建好形态优美生活宜居的公园城市。加快推进有机更新焕发老城生机。以“片区思维、滚动包装、梯次呈现、持续开发、更新提质”的营城理念，深入推进城市更新项目攻坚，启动一批城市更新项目，加快建设文庙·印巷二期、三期项目，稳步推进城中村改造项目，提速建设城中村安置房项目建设，改造老旧小区20个，推动既有住宅增设（更新）电梯30台以上。不断优化市政服务美化城市环境。靓化街区立面，打造外摆示范街5条、点位20个，创新设置公共环境艺术装置，精准提升户外标识导览、广告招牌品质，引导企业实施LOGO亮化，营造风貌突出的温江城市街景。暖化城市灯光，整治“有路无灯、有灯不亮”道路5条，实施LED灯源节能改造1000个。优化市政设施，新（改）建环卫公厕10座，拆除、规范围挡110处以上，分批次实施座椅、井盖翻新。持续实施生态工程推动城园相融。加快融入美丽成都建设全民行动和“美丽细胞”创建，建设城市公园1个、新增绿地450亩，改造提升微空间、美丽街角25个以上，新建及提升改造天府绿道20公里，打造“美丽街巷（道）”5条、美丽街区1个，构建城园相融的市民生活休闲环境。</w:t>
      </w:r>
    </w:p>
    <w:p w14:paraId="1502E89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学习运用“千万工程”经验推进乡村全面振兴。加快建设美丽乡村。深入推进国家城乡融合发展试验区建设，聚焦“人、地、钱”，持续深化创新乡建合伙模式、集体经营性建设用地使用权作价入股、健全农村产权抵押担保融资机制等改革探索。加快实施“十村先行、百院示范、千户提升”工程，新增培育先行村3个、整治重点村3个。推进宜居宜业和美乡村建设“十大行动”，实施农村人居环境“五清四定两美”行动，完成农房特色风貌改造200栋，建成美丽庭院40个以上。培育壮大农事体验、民宿露营等农商文旅体养融合发展业态，建成2条美丽乡村特色风貌重点线路，推进乡村消费新场景品质提升。完善强农惠农富农支持力度。有序开展第二轮农村土地承包到期后再延长30年试点，健全涉农资金稳定增长机制，完善种粮农民收益保障机制。聘好用活乡村规划师、整村运营师，对乡村存量资源进行整村性、系统化、多维度运营。强化农村集体“三资”监管，探索集体资产有效实现形式，建立健全“保底收入+按股分配”的利益联结机制，开展村集体经济职业经理人培育，试点整镇组团、多村合作、跨镇抱团发展等模式，力争集体经济总收入同比增长10%。</w:t>
      </w:r>
    </w:p>
    <w:p w14:paraId="1E429F13">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深化扩权赋能激发镇域经济活力。健全镇街职能体系。建立镇街履职事项清单，厘清镇街、园区、部门工作职能划分，严格镇街职责准入制度，不断完善“镇街吹哨、部门报到”工作机制，形成事权清晰、责能相适、履职顺畅、保障有力的镇街权责体系，逐步推进镇街工作重心向经济发展等领域转变，探索形成符合镇街发展实际的经济指标监测体系。提升镇街抓经济能力。推动产业协同“从零到一”，围绕“农、工、商、旅”四类发展路径，推动镇街根据区域资源禀赋、发展底蕴，协同产业部门、园区，抓好1个主导产业和1—2个协同产业，完善产业配套和推动载体楼宇去化。推动工作职能“从零到一”，围绕主导产业，以协税护税、企业守护、搭建联盟、上规培育等为起点，逐步推动镇街抓经济职能向高层次跃迁。推动工作力量“从零到一”，深化镇街财政、人事等制度改革，探索采取“国有公司+村集体经济”模式组建专业“镇投”子公司，培育懂经济干部、人才队伍。推动镇街协同梯次发展。深入实施中心镇提能发展行动，依法依规赋予特大镇同人口和经济规模相适应的经济社会管理权限，推动中心镇“先行先试”抓经济，加快培育“百强”镇。强化镇街跨区域协作，推动产业联动、资源链接、空间融合，协同打造重点片区，实现特色发展、连片振兴；深化镇街与先进地区和一流产业园区所在（所辖）镇街的结对合作，探索承接产能转移、形成后发优势的具体路径。</w:t>
      </w:r>
    </w:p>
    <w:p w14:paraId="749B7E0B">
      <w:pPr>
        <w:overflowPunct w:val="0"/>
        <w:spacing w:line="574"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（七）推动绿色发展，高品质筑牢长江上游生态屏障</w:t>
      </w:r>
    </w:p>
    <w:p w14:paraId="52E00A42">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推动优化调整“四大结构”。推动空间结构向生态可持续布局。严格落实“三区三线”管控要求，严守基本农田和生态保护红线。健全城市开发边界弹性调整机制和国土空间规划实施监测评估预警机制，加快推进镇、村及片区国土空间规划成果完善，完成凤栖新城重点片区和柳城东、永宁、万春镇等7个片区大纲单元及基本单元控规编制，优化完善13个村级片区规划及历史文化名镇名村规划方案。加快产业结构向绿色生产力调整。加快推进节能环保等重点产业发展成链，加快绿色制造体系建设，争创国家级绿色工厂1家、省级绿色工厂1家以上，创新开展涉气企业环境与经济效益协同发展试点。大力推进建筑领域节能降碳，稳步发展装配式建筑，力争城镇新开工建筑中绿色建筑面积达90%。推动交通运输结构向绿色高效发展。加快构建“地铁+公交+慢行”的绿色出行体系，畅通重要交通堵点5个，打通“断头路”1条以上，新开或优化公交线路8条，加强共享单车管理与统筹调度，绿色出行比例提升至78%以上。试点建成汽车综合服务体1个，加大新能源汽车推广和老旧车淘汰力度，力争新能源货运车辆提升至240辆，加快淘汰国三及以下排放标准老旧车，加快上线86辆新能源公交车。特色发展网络货运新模式，积极引导发展平台型物流、产业型物流。推动能源结构向清洁能源替代。加快构建新型能源体系，推进企业屋顶分布式光伏发电项目建设。建成区域级虚拟电厂并接入市级虚拟电厂平台，确保资源聚合接入达到4.34万千瓦。</w:t>
      </w:r>
    </w:p>
    <w:p w14:paraId="067CE448">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深入打好污染防治攻坚战。打好蓝天保卫战。系统推进工业源、移动源、面源等大气污染重点防治，深入开展成都市西部片区大气污染联防联控，创新实施大气卫星遥感精准溯源，加快构建工业企业挥发性有机物指纹图谱，确保PM2.5年均浓度低于35微克/立方米，空气质量优良天数不低于295天。打好碧水保卫战。坚决落实河长制，深化水资源、水环境、水生态“三水统筹”治理，强化饮用水水源保护和排水许可管理，全域推进入河排污口整治，加强岷江重点流域水环境问题整治，全区市控及以上断面优良水体率保持100%。新（改）建市政排水管网3公里、启动金马污水处理厂（二期）项目建设，推进污水资源化利用。打好净土保卫战。贯彻落实土壤污染监测、风险管控和修复制度，强化土壤重点企业监管，加强重点建设用地安全利用，强化污染地块管控治理和受污染耕地保护修复，持续推进全区新污染物防治，确保土壤质量稳中向好。深化温江区“无废城市”建设，扎实推进垃圾减量分类，保障建筑、餐厨等固废处置设施运营，促进多源固废协同处置和资源化利用。持续抓好中央、省环保督察反馈问题和长江经济带生态环境突出问题整改。按时序进度推进第三轮中央环保督察信访件、反馈意见和省、市交办的生态环境问题整改工作。做好突出问题整改落实“回头看”，确保问题整改不反弹。</w:t>
      </w:r>
    </w:p>
    <w:p w14:paraId="2469F306">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深化“双碳”行动促进生态价值实现。深化“双碳”工作体系化。编制“十五五”生态环境保护规划，推动近零碳园区建设任务，探索具有温江特色的“近零碳”实践路径。积极参与“碳惠天府”机制，强化林盘碳汇开发，积极探索“测土配方施肥”等农业碳汇开发，新增低碳行为场景不少于1个。坚决遏制“两高一低”项目盲目上马，推动单位地区生产总值能耗和碳排放强度持续降低。加强生态产品价值化。探索建立生态产品调查监测机制，形成生态产品目录清单。健全生态价值评估利益联结机制，推广岷江村村级生态产品价值核算试点经验。加大绿色金融服务，创新“生态资产权益抵押+项目贷”等模式。加快打造一批生态价值转化示范场景。推进生活方式绿色化。发挥北林再生资源分类分选服务中心等场景作用，推动居民闲置物品循环流动利用。深入推进“光盘行动”。督促快递、外卖企业严格落实环保包装。探索与金融支付等机构合作提供绿色生活激励措施。</w:t>
      </w:r>
    </w:p>
    <w:p w14:paraId="7AD81E0A">
      <w:pPr>
        <w:overflowPunct w:val="0"/>
        <w:spacing w:line="574" w:lineRule="exact"/>
        <w:ind w:firstLine="640" w:firstLineChars="200"/>
        <w:rPr>
          <w:rFonts w:hint="default" w:ascii="Times New Roman" w:hAnsi="Times New Roman" w:eastAsia="方正黑体简体" w:cs="Times New Roman"/>
          <w:bCs/>
          <w:sz w:val="32"/>
          <w:szCs w:val="32"/>
        </w:rPr>
      </w:pPr>
      <w:r>
        <w:rPr>
          <w:rFonts w:hint="default" w:ascii="Times New Roman" w:hAnsi="Times New Roman" w:eastAsia="楷体_GB2312" w:cs="Times New Roman"/>
          <w:bCs/>
          <w:sz w:val="32"/>
          <w:szCs w:val="32"/>
        </w:rPr>
        <w:t>（八）增进民生福祉，高水平创造城市美好生活图景</w:t>
      </w:r>
    </w:p>
    <w:p w14:paraId="1645083C">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更大力度做好稳就业促增收。构建“大就业”工作格局。落实就业优先战略，增强经济发展就业带动力。落实援企稳岗系列政策，激励企业承担就业社会责任。鼓励创业带动就业，开展“鱼凫企业家成长营”活动。优化人岗匹配信息平台，开展线上线下招聘活动180场以上。全域构建便捷高效的公共就业服务体系，建设规范化零工市场。深入推进薪酬制度改革，扎实开展治理欠薪工作，确保城乡居民人均可支配收入与经济增长基本同步。促进重点群体就业。强化高校毕业生等青年就业帮扶，组织公共就业服务进校园“六进”活动11场以上。建立农民工转移就业跟踪服务机制，集中开展今冬明春农民工服务保障专项行动，完成农村劳动力转移就业不少于1500人。强化退役军人就业扶持力度，提供岗位不少于4000个。加大公益性岗位等开发力度，全力帮扶失业人员再就业，确保零就业家庭动态清零。</w:t>
      </w:r>
    </w:p>
    <w:p w14:paraId="0382C9A4">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更优布局公共服务优品质促均衡。促进教育整体优质发展。打造家门口的好学校，加快建设花土东街小学等中小学幼儿园新建改扩建项目8个，增加学位1.5万个，普惠性幼儿园覆盖率达到88%以上，义务教育优质教育资源覆盖率达到88%以上，促进普通高中扩容提质。落实“阳光招生入学”政策，大力化解区域学位供需矛盾。促进医疗卫生高效供给。加快建设成都市第五人民医院光华院区等医疗卫生设施重大项目6个，深化公立医院医疗服务价格、医保支付方式等重点领域改革，推动智慧医疗场景提质扩面，争创成都西部区域公共卫生中心。建成县域医疗卫生次中心2个。强化传染病防控。健全中医药服务体系，积极融入成都国家中医药传承创新发展试验区建设。深入实施文体惠民工程。发挥“后世园会”效应，强化川派盆景等非遗传承活化，擦亮省级“非遗四川·百城百艺”品牌。推进文庙提升改造等复合型文化服务空间落地。持续深化“留心”服务品牌，打造“15分钟公共文化服务圈”，推动15所“留炼运动场”免费对外开放，举办“月运动·越健康”等群众文体活动800场以上。</w:t>
      </w:r>
    </w:p>
    <w:p w14:paraId="584AB798">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更强合力建设全龄友好型社会能感知可触及。完善公共服务圈。持续创塑“亲邻坊”社区服务品牌，新建一批社区志愿服务超市等优质服务点位，完善集商业、文化、医疗等功能一体的公共服务圈。聚焦“一老一小”推动嵌入式项目运营，探索构建“政府提升公服水平、国企盘活闲置资产、企业获得稳定利润”的嵌入式服务设施建设运营新模式。推进生育友好型城市建设。全面落实上级各项生育支持政策，通过公益联谊交友、职工子女托管等服务，不断降低婚嫁、生育、养育、教育成本，构建普惠多元的托育服务体系，力争普惠性托位占比提高至60%以上。加快打造儿童友好城市，大力推进青年发展型县域建设，深入实施温江女性六大行动。推进老龄友好型城市建设。加强基本养老服务体系建设，大力拓展居家社区养老服务，健全养老机构管理体系，推出长期护理保险，举办老年文化艺术季、银发经济消费节和银发经济高质量发展交流活动。</w:t>
      </w:r>
    </w:p>
    <w:p w14:paraId="324B939F">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更实举措确保社会保障体系强完善保底线。推动社会保障扩面提质。稳妥落实渐进式延迟法定退休年龄改革，扎实做好企业职工养老保险全国统筹，基本养老保险参保率达95%。精准实施医保全民参保计划，实现基本医疗保险参保率保持98%以上。优化医保定点医药机构资源配置，引导优质药械企业积极融入“惠蓉保”发展，强化智慧监管筑牢医保资金安全防线。提质发展住房租赁市场，配租保障性租赁住房800套（间）。健全分层分类的社会救助体系，加强困难群体兜底帮扶，强化残疾人社会保障和关爱服务，实施特困人员救助供养政策全覆盖专项行动，支持发展公益慈善事业。强化重要民生商品保价稳供。优化完善“菜篮子”稳产保供方案，强化价格监测预警，保持物价水平总体稳定，适时启动社会救助和保障标准与物价上涨挂钩联动机制。</w:t>
      </w:r>
    </w:p>
    <w:p w14:paraId="3D436B3A">
      <w:pPr>
        <w:overflowPunct w:val="0"/>
        <w:spacing w:line="574" w:lineRule="exact"/>
        <w:ind w:firstLine="640" w:firstLineChars="200"/>
        <w:rPr>
          <w:rFonts w:hint="default" w:ascii="Times New Roman" w:hAnsi="Times New Roman" w:eastAsia="方正黑体简体" w:cs="Times New Roman"/>
          <w:bCs/>
          <w:sz w:val="32"/>
          <w:szCs w:val="32"/>
        </w:rPr>
      </w:pPr>
      <w:r>
        <w:rPr>
          <w:rFonts w:hint="default" w:ascii="Times New Roman" w:hAnsi="Times New Roman" w:eastAsia="楷体_GB2312" w:cs="Times New Roman"/>
          <w:bCs/>
          <w:sz w:val="32"/>
          <w:szCs w:val="32"/>
        </w:rPr>
        <w:t>（九）提升</w:t>
      </w:r>
      <w:r>
        <w:rPr>
          <w:rFonts w:hint="default" w:ascii="Times New Roman" w:hAnsi="Times New Roman" w:eastAsia="楷体_GB2312" w:cs="Times New Roman"/>
          <w:bCs/>
          <w:sz w:val="32"/>
          <w:szCs w:val="32"/>
          <w:u w:val="none" w:color="FFFFFF"/>
        </w:rPr>
        <w:t>治理</w:t>
      </w:r>
      <w:r>
        <w:rPr>
          <w:rFonts w:hint="default" w:ascii="Times New Roman" w:hAnsi="Times New Roman" w:eastAsia="楷体_GB2312" w:cs="Times New Roman"/>
          <w:bCs/>
          <w:sz w:val="32"/>
          <w:szCs w:val="32"/>
        </w:rPr>
        <w:t>效能，高标准保障社会安全稳定</w:t>
      </w:r>
    </w:p>
    <w:p w14:paraId="30B838AD">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健全城市运行治理安全体系。加快城市治理智能中枢建设。持续守牢城市安全底板，持续深化智慧公安建设赋能，整合社会侧感知设备，提升风险监测能力。强化5G网络深度覆盖，新建投运5G基站300个。聚焦九小场所、生产安全、交通治堵等领域，叠加AI智能识别算法，实现安全监测智能预警和风险隐患智能识别。提升社会治理整体效能。建立健全社会工作统筹机制、制度体系和联动网络。加强“两企三新”等新兴领域党建工作，加强新就业群体关爱凝聚。健全基层减负赋能长效机制，全覆盖建成三级社会工作综合服务平台。持续深化“微网实格”治理体系，建强微网格员队伍。厚植“温江一家亲”理念，深耕小区治理攻坚和“亲邻家园”营建行动，引领新老市民参与基层治理。建设平安法治社会。坚持和发展新时代“枫桥经验”，完善社会治安整体防控体系，纵深推进常态化扫黑除恶斗争，依法打击治理突出违法犯罪，维护社会大局和谐稳定。加强综治中心规范化建设，深化“一站式”矛盾纠纷多元化解。深入推进社会心理服务体系建设，切实加强重点人群心理健康服务，严防发生极端、敏感案事件。扎实开展“八五”普法，优化公共法律服务供给，做好困难群体司法救助、法律援助。推动信访工作法治化落实。</w:t>
      </w:r>
    </w:p>
    <w:p w14:paraId="5EF2C905">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有效防范化解重点领域风险。守牢安全底线。推动城市安全风险评估提质扩面，持续开展25个行业60个细分领域安全风险辨识分级管控，深入推进安全生产治本攻坚三年行动，强化重点行业领域安全监管，常态化开展安全生产问题隐患大排查、大曝光、大整治。加快推进涌泉消防站建设，全力打造“五分钟消防救援圈”。做好暴雨洪涝、高温干旱等自然灾害应对，扎实做好防灾减灾救灾工作。守牢政府债务警戒线。从严控制政府债务规模，合理使用再融资债券政策，按时足额偿付到期政府债务本息，确保政府债务不超限额。抢抓化债窗口期整体防范化解隐性债务风险，坚决遏制新增隐性债务，加快压降融资平台数量和债务规模，坚决防范“新形象工程”和政府投资项目过度包装，严防“爆雷”风险。守牢金融风险底线。加强中小金融机构风险管控，严厉打击非法集资等非法金融活动。积极稳妥化解房地产风险。加大力度推进合规房地产项目纳入融资“白名单”，支持房地产企业合理融资需求。进一步健全商品房预售资金监管机制。加快推进“保交楼”“保交房”。</w:t>
      </w:r>
    </w:p>
    <w:p w14:paraId="4F24004F">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提升粮食能源安全保障能力。更高水平建设“天府粮仓”高质高效展示区。严格落实耕地保护和粮食安全考核工作。坚决遏制耕地“非农化”，防止永久基本农田“非粮化”，有序引导低效残次苗木腾退并恢复种粮，健全保障耕地用于种植基本农作物管理体系，确保粮食播种面积稳定在2.3万亩左右，确保粮食产量稳定在1.1万吨左右。强化粮食“产购储加销”协调保障，完成新增粮食和物资储备任务，加快构建大储备体系。强化能源安全保障。制定新型能源体系建设方案和支持政策，加快“1+1+3+N”混合型虚拟电厂运营体系建设。完善能源网络，建成投运医学城起步区蒸汽管网一期等7个项目，加快推进220千伏渡桥站等4个项目建设，新建充（换）电站6座。深化“双改”工作，加快更新改造老旧燃气管道20公里和12个老旧小区燃气设施设备，持续开展城镇燃气安全专项整治和成品油“百日打非治违”整治行动。</w:t>
      </w:r>
    </w:p>
    <w:p w14:paraId="1BACD1F9">
      <w:pPr>
        <w:overflowPunct w:val="0"/>
        <w:spacing w:line="574"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各位代表，做好2025年经济社会发展工作使命光荣、责任重大。我们将更加紧密地团结在以习近平同志为核心的党中央周围，在党中央国务院、省委省政府、市委市政府和区委坚强领导下，自觉接受区人大的监督指导，认真听取区政协的意见建议，坚决落实区第十九届人民代表大会第六次会议决议，坚定信心、攻坚克难、奋发进取，扎实做好经济社会发展各项工作，努力完成全年目标任务，决胜“十四五”、迈步“十五五”，为奋力谱写中国式现代化成都新篇章贡献温江力量！</w:t>
      </w:r>
    </w:p>
    <w:p w14:paraId="2C3C5908">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7C09461F">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002E9FE0">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0BC3D12A">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42F269F2">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07D4E96E">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618D62D2">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48C8EA05">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57AB2A6E">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11245E81">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5A807CE8">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73D803BC">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215E6114">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752FCE70">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6F25671A">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753BF1A1">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0D97F25B">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2B4DD9AD">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513C2010">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1AEEC71E">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7EC2C399">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60921D52">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66F9C729">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0B33B2E0">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06008E1F">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10F54540">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19CACA0A">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7C1DA07E">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38891107">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34C3EE93">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6B2B0647">
      <w:pPr>
        <w:overflowPunct w:val="0"/>
        <w:spacing w:line="360" w:lineRule="exact"/>
        <w:ind w:left="1510" w:leftChars="300" w:hanging="880" w:hangingChars="200"/>
        <w:rPr>
          <w:rFonts w:hint="default" w:ascii="Times New Roman" w:hAnsi="Times New Roman" w:eastAsia="方正小标宋简体" w:cs="Times New Roman"/>
          <w:color w:val="000000"/>
          <w:sz w:val="44"/>
          <w:szCs w:val="44"/>
        </w:rPr>
      </w:pPr>
    </w:p>
    <w:p w14:paraId="09561D60">
      <w:pPr>
        <w:keepNext w:val="0"/>
        <w:keepLines w:val="0"/>
        <w:pageBreakBefore w:val="0"/>
        <w:widowControl w:val="0"/>
        <w:kinsoku/>
        <w:wordWrap/>
        <w:overflowPunct w:val="0"/>
        <w:topLinePunct w:val="0"/>
        <w:autoSpaceDE/>
        <w:autoSpaceDN/>
        <w:bidi w:val="0"/>
        <w:adjustRightInd/>
        <w:snapToGrid/>
        <w:spacing w:line="600" w:lineRule="exact"/>
        <w:ind w:left="1510" w:leftChars="300" w:hanging="880" w:hangingChars="200"/>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名词解释</w:t>
      </w:r>
    </w:p>
    <w:p w14:paraId="5A50C57C">
      <w:pPr>
        <w:pStyle w:val="2"/>
        <w:rPr>
          <w:rFonts w:hint="default" w:ascii="Times New Roman" w:hAnsi="Times New Roman" w:cs="Times New Roman"/>
        </w:rPr>
      </w:pPr>
    </w:p>
    <w:p w14:paraId="32D1E55D">
      <w:pPr>
        <w:pStyle w:val="2"/>
        <w:keepNext w:val="0"/>
        <w:keepLines w:val="0"/>
        <w:pageBreakBefore w:val="0"/>
        <w:widowControl w:val="0"/>
        <w:kinsoku/>
        <w:wordWrap/>
        <w:topLinePunct w:val="0"/>
        <w:autoSpaceDE/>
        <w:autoSpaceDN/>
        <w:bidi w:val="0"/>
        <w:adjustRightInd/>
        <w:snapToGrid/>
        <w:spacing w:after="0" w:line="574"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三中心一基地：</w:t>
      </w:r>
      <w:r>
        <w:rPr>
          <w:rFonts w:hint="default" w:ascii="Times New Roman" w:hAnsi="Times New Roman" w:eastAsia="仿宋_GB2312" w:cs="Times New Roman"/>
          <w:bCs/>
          <w:color w:val="000000"/>
          <w:sz w:val="32"/>
          <w:szCs w:val="32"/>
        </w:rPr>
        <w:t>国务院批复《成都市国土空间总体规划（2021年-2035年）》明确的城市核心功能定位，即“西部经济中心、西部科技创新中心、西部对外交往中心和全国先进制造业基地”。</w:t>
      </w:r>
    </w:p>
    <w:p w14:paraId="7CFF3083">
      <w:pPr>
        <w:keepNext w:val="0"/>
        <w:keepLines w:val="0"/>
        <w:pageBreakBefore w:val="0"/>
        <w:widowControl w:val="0"/>
        <w:kinsoku/>
        <w:wordWrap/>
        <w:topLinePunct w:val="0"/>
        <w:autoSpaceDE/>
        <w:autoSpaceDN/>
        <w:bidi w:val="0"/>
        <w:adjustRightInd/>
        <w:snapToGrid/>
        <w:spacing w:line="574" w:lineRule="exact"/>
        <w:textAlignment w:val="auto"/>
        <w:rPr>
          <w:rFonts w:hint="default" w:ascii="Times New Roman" w:hAnsi="Times New Roman" w:cs="Times New Roman"/>
        </w:rPr>
      </w:pPr>
      <w:r>
        <w:rPr>
          <w:rFonts w:hint="default" w:ascii="Times New Roman" w:hAnsi="Times New Roman" w:eastAsia="仿宋_GB2312" w:cs="Times New Roman"/>
          <w:bCs/>
          <w:color w:val="000000"/>
          <w:sz w:val="32"/>
          <w:szCs w:val="32"/>
        </w:rPr>
        <w:t xml:space="preserve">  </w:t>
      </w:r>
      <w:r>
        <w:rPr>
          <w:rFonts w:hint="default" w:ascii="Times New Roman" w:hAnsi="Times New Roman" w:eastAsia="方正黑体简体" w:cs="Times New Roman"/>
          <w:bCs/>
          <w:sz w:val="32"/>
          <w:szCs w:val="32"/>
        </w:rPr>
        <w:t xml:space="preserve">  八个着力：</w:t>
      </w:r>
      <w:r>
        <w:rPr>
          <w:rFonts w:hint="default" w:ascii="Times New Roman" w:hAnsi="Times New Roman" w:eastAsia="仿宋_GB2312" w:cs="Times New Roman"/>
          <w:bCs/>
          <w:color w:val="000000"/>
          <w:sz w:val="32"/>
          <w:szCs w:val="32"/>
        </w:rPr>
        <w:t>着力扩大有效投资，着力提振有潜能的消费，着力推进强县活区，着力以科技创新引领构建现代化产业体系，着力优化惠企强企服务，着力深化改革扩大开放，着力保障和改善民生，着力防风险保安全。</w:t>
      </w:r>
    </w:p>
    <w:p w14:paraId="4E815029">
      <w:pPr>
        <w:pStyle w:val="2"/>
        <w:keepNext w:val="0"/>
        <w:keepLines w:val="0"/>
        <w:pageBreakBefore w:val="0"/>
        <w:widowControl w:val="0"/>
        <w:kinsoku/>
        <w:wordWrap/>
        <w:topLinePunct w:val="0"/>
        <w:autoSpaceDE/>
        <w:autoSpaceDN/>
        <w:bidi w:val="0"/>
        <w:adjustRightInd/>
        <w:snapToGrid/>
        <w:spacing w:after="0" w:line="574"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七个聚力：</w:t>
      </w:r>
      <w:r>
        <w:rPr>
          <w:rFonts w:hint="default" w:ascii="Times New Roman" w:hAnsi="Times New Roman" w:eastAsia="仿宋_GB2312" w:cs="Times New Roman"/>
          <w:bCs/>
          <w:color w:val="000000"/>
          <w:sz w:val="32"/>
          <w:szCs w:val="32"/>
        </w:rPr>
        <w:t>聚力有效履行国家赋予的时代使命和战略任务攻坚突破，聚力拼经济、搞建设推动高质量发展攻坚突破，聚力科技产业深度融合培育发展新质生产力攻坚突破，聚力建设国际门户枢纽推进高水平开放攻坚突破，聚力强县活镇兴村推进城乡融合发展攻坚突破，聚力擦亮最具活力和幸福感的城市名片攻坚突破，聚力提升超大城市现代化治理能力攻坚突破。</w:t>
      </w:r>
    </w:p>
    <w:p w14:paraId="4C5E42A6">
      <w:pPr>
        <w:pStyle w:val="2"/>
        <w:keepNext w:val="0"/>
        <w:keepLines w:val="0"/>
        <w:pageBreakBefore w:val="0"/>
        <w:widowControl w:val="0"/>
        <w:kinsoku/>
        <w:wordWrap/>
        <w:topLinePunct w:val="0"/>
        <w:autoSpaceDE/>
        <w:autoSpaceDN/>
        <w:bidi w:val="0"/>
        <w:adjustRightInd/>
        <w:snapToGrid/>
        <w:spacing w:after="0" w:line="574"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八个突出：</w:t>
      </w:r>
      <w:r>
        <w:rPr>
          <w:rFonts w:hint="default" w:ascii="Times New Roman" w:hAnsi="Times New Roman" w:eastAsia="仿宋_GB2312" w:cs="Times New Roman"/>
          <w:bCs/>
          <w:color w:val="000000"/>
          <w:sz w:val="32"/>
          <w:szCs w:val="32"/>
        </w:rPr>
        <w:t>突出增存并举、立新优旧，在建设全国先进制造业基地上强攻坚；突出科技赋能、成果转化，在建设科技创新中心上提质效；突出用户思维、需求导向，在建设国际消费中心城市上塑品牌；突出项目引领、多投快建，在扩大有效投资上作贡献；突出提升功能、拓展市场，在建强对外交往中心上扩能级；突出赋能提质、扩量增效，在专业化特色化园区建设上求突破；突出稳定预期、提振信心，在培育壮大民营经济上优服务；突出机构聚集、服务提质，在加快建设西部金融中心上促发展。</w:t>
      </w:r>
    </w:p>
    <w:p w14:paraId="614AACD6">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cs="Times New Roman"/>
        </w:rPr>
      </w:pPr>
      <w:r>
        <w:rPr>
          <w:rFonts w:hint="default" w:ascii="Times New Roman" w:hAnsi="Times New Roman" w:eastAsia="方正黑体简体" w:cs="Times New Roman"/>
          <w:bCs/>
          <w:sz w:val="32"/>
          <w:szCs w:val="32"/>
          <w:u w:val="none" w:color="FFFFFF"/>
        </w:rPr>
        <w:t>“立园满园”行动：</w:t>
      </w:r>
      <w:r>
        <w:rPr>
          <w:rFonts w:hint="default" w:ascii="Times New Roman" w:hAnsi="Times New Roman" w:eastAsia="仿宋_GB2312" w:cs="Times New Roman"/>
          <w:bCs/>
          <w:color w:val="000000"/>
          <w:sz w:val="32"/>
          <w:szCs w:val="32"/>
          <w:u w:val="none" w:color="FFFFFF"/>
        </w:rPr>
        <w:t>成都推动产业园区高质量发展提出的“优化提质、特色立园，赋能增效、企业满园”行动。</w:t>
      </w:r>
    </w:p>
    <w:p w14:paraId="5FA52D08">
      <w:pPr>
        <w:keepNext w:val="0"/>
        <w:keepLines w:val="0"/>
        <w:pageBreakBefore w:val="0"/>
        <w:widowControl w:val="0"/>
        <w:kinsoku/>
        <w:wordWrap/>
        <w:topLinePunct w:val="0"/>
        <w:autoSpaceDE/>
        <w:autoSpaceDN/>
        <w:bidi w:val="0"/>
        <w:adjustRightInd/>
        <w:snapToGrid/>
        <w:spacing w:line="574"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七个一批：</w:t>
      </w:r>
      <w:r>
        <w:rPr>
          <w:rFonts w:hint="default" w:ascii="Times New Roman" w:hAnsi="Times New Roman" w:eastAsia="仿宋_GB2312" w:cs="Times New Roman"/>
          <w:bCs/>
          <w:color w:val="000000"/>
          <w:sz w:val="32"/>
          <w:szCs w:val="32"/>
        </w:rPr>
        <w:t>全力以赴扩总量，务必策划签约一批；全力以赴拓增量，务必开工投运一批；全力以赴提质量，务必入园上楼一批；全力以赴挖存量，务必升规提质一批；全力以赴抢</w:t>
      </w:r>
      <w:r>
        <w:rPr>
          <w:rFonts w:hint="default" w:ascii="Times New Roman" w:hAnsi="Times New Roman" w:eastAsia="仿宋_GB2312" w:cs="Times New Roman"/>
          <w:bCs/>
          <w:color w:val="000000"/>
          <w:sz w:val="32"/>
          <w:szCs w:val="32"/>
          <w:u w:val="none" w:color="FFFFFF"/>
        </w:rPr>
        <w:t>份量</w:t>
      </w:r>
      <w:r>
        <w:rPr>
          <w:rFonts w:hint="default" w:ascii="Times New Roman" w:hAnsi="Times New Roman" w:eastAsia="仿宋_GB2312" w:cs="Times New Roman"/>
          <w:bCs/>
          <w:color w:val="000000"/>
          <w:sz w:val="32"/>
          <w:szCs w:val="32"/>
        </w:rPr>
        <w:t>，务必供需对接一批；全力以赴稳变量，务必提速保障一批；全力以赴聚力量，务必难题破解一批。</w:t>
      </w:r>
    </w:p>
    <w:p w14:paraId="7D2DC732">
      <w:pPr>
        <w:pStyle w:val="2"/>
        <w:keepNext w:val="0"/>
        <w:keepLines w:val="0"/>
        <w:pageBreakBefore w:val="0"/>
        <w:widowControl w:val="0"/>
        <w:kinsoku/>
        <w:wordWrap/>
        <w:topLinePunct w:val="0"/>
        <w:autoSpaceDE/>
        <w:autoSpaceDN/>
        <w:bidi w:val="0"/>
        <w:adjustRightInd/>
        <w:snapToGrid/>
        <w:spacing w:after="0" w:line="574" w:lineRule="exact"/>
        <w:ind w:firstLine="641"/>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u w:val="none" w:color="FFFFFF"/>
        </w:rPr>
        <w:t>XDC：</w:t>
      </w:r>
      <w:r>
        <w:rPr>
          <w:rFonts w:hint="default" w:ascii="Times New Roman" w:hAnsi="Times New Roman" w:eastAsia="仿宋_GB2312" w:cs="Times New Roman"/>
          <w:bCs/>
          <w:color w:val="000000"/>
          <w:sz w:val="32"/>
          <w:szCs w:val="32"/>
          <w:u w:val="none" w:color="FFFFFF"/>
        </w:rPr>
        <w:t>各种偶联药物的统称，由靶向分子、连接体、细胞毒性药物组成，其中X是载体，D是有效载荷，C是偶联。</w:t>
      </w:r>
    </w:p>
    <w:p w14:paraId="353D75F6">
      <w:pPr>
        <w:pStyle w:val="2"/>
        <w:keepNext w:val="0"/>
        <w:keepLines w:val="0"/>
        <w:pageBreakBefore w:val="0"/>
        <w:widowControl w:val="0"/>
        <w:kinsoku/>
        <w:wordWrap/>
        <w:topLinePunct w:val="0"/>
        <w:autoSpaceDE/>
        <w:autoSpaceDN/>
        <w:bidi w:val="0"/>
        <w:adjustRightInd/>
        <w:snapToGrid/>
        <w:spacing w:after="0" w:line="574" w:lineRule="exact"/>
        <w:ind w:firstLine="641"/>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一轴一核两区：</w:t>
      </w:r>
      <w:r>
        <w:rPr>
          <w:rFonts w:hint="default" w:ascii="Times New Roman" w:hAnsi="Times New Roman" w:eastAsia="仿宋_GB2312" w:cs="Times New Roman"/>
          <w:bCs/>
          <w:color w:val="000000"/>
          <w:sz w:val="32"/>
          <w:szCs w:val="32"/>
        </w:rPr>
        <w:t>发挥川农大、成都中医大、省发酵院、省市食检院、成都市农林科学院等在温高校院所资源优势，开展产学研合作，共建创新转化驱动轴；以未来食品产业园及邻近土地和厂房为主要载体，全力引进新产业、新业态，打造未来食品智造核；逐步形成绿色食品焕新区和产业发展预留区，打通农业科技向食品工业的转化链条，实现“研</w:t>
      </w:r>
      <w:r>
        <w:rPr>
          <w:rFonts w:hint="default" w:ascii="Times New Roman" w:hAnsi="Times New Roman" w:eastAsia="仿宋_GB2312" w:cs="Times New Roman"/>
          <w:bCs/>
          <w:color w:val="000000"/>
          <w:sz w:val="32"/>
          <w:szCs w:val="32"/>
          <w:u w:val="none" w:color="FFFFFF"/>
        </w:rPr>
        <w:t>-</w:t>
      </w:r>
      <w:r>
        <w:rPr>
          <w:rFonts w:hint="default" w:ascii="Times New Roman" w:hAnsi="Times New Roman" w:eastAsia="仿宋_GB2312" w:cs="Times New Roman"/>
          <w:bCs/>
          <w:color w:val="000000"/>
          <w:sz w:val="32"/>
          <w:szCs w:val="32"/>
        </w:rPr>
        <w:t>产-销</w:t>
      </w:r>
      <w:r>
        <w:rPr>
          <w:rFonts w:hint="default" w:ascii="Times New Roman" w:hAnsi="Times New Roman" w:eastAsia="仿宋_GB2312" w:cs="Times New Roman"/>
          <w:bCs/>
          <w:color w:val="000000"/>
          <w:sz w:val="32"/>
          <w:szCs w:val="32"/>
          <w:u w:val="none" w:color="FFFFFF"/>
        </w:rPr>
        <w:t>-</w:t>
      </w:r>
      <w:r>
        <w:rPr>
          <w:rFonts w:hint="default" w:ascii="Times New Roman" w:hAnsi="Times New Roman" w:eastAsia="仿宋_GB2312" w:cs="Times New Roman"/>
          <w:bCs/>
          <w:color w:val="000000"/>
          <w:sz w:val="32"/>
          <w:szCs w:val="32"/>
        </w:rPr>
        <w:t>旅”全链条发展。</w:t>
      </w:r>
    </w:p>
    <w:p w14:paraId="1E3D0D88">
      <w:pPr>
        <w:keepNext w:val="0"/>
        <w:keepLines w:val="0"/>
        <w:pageBreakBefore w:val="0"/>
        <w:widowControl w:val="0"/>
        <w:kinsoku/>
        <w:wordWrap/>
        <w:topLinePunct w:val="0"/>
        <w:autoSpaceDE/>
        <w:autoSpaceDN/>
        <w:bidi w:val="0"/>
        <w:adjustRightInd/>
        <w:snapToGrid/>
        <w:spacing w:line="574" w:lineRule="exact"/>
        <w:ind w:firstLine="641"/>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工业标准地：</w:t>
      </w:r>
      <w:r>
        <w:rPr>
          <w:rFonts w:hint="default" w:ascii="Times New Roman" w:hAnsi="Times New Roman" w:eastAsia="仿宋_GB2312" w:cs="Times New Roman"/>
          <w:bCs/>
          <w:color w:val="000000"/>
          <w:sz w:val="32"/>
          <w:szCs w:val="32"/>
        </w:rPr>
        <w:t>在符合国土空间规划和园区规划的前提下，带控制性指标出让的国有建设用地。</w:t>
      </w:r>
    </w:p>
    <w:p w14:paraId="3000C79F">
      <w:pPr>
        <w:keepNext w:val="0"/>
        <w:keepLines w:val="0"/>
        <w:pageBreakBefore w:val="0"/>
        <w:widowControl w:val="0"/>
        <w:kinsoku/>
        <w:wordWrap/>
        <w:topLinePunct w:val="0"/>
        <w:autoSpaceDE/>
        <w:autoSpaceDN/>
        <w:bidi w:val="0"/>
        <w:adjustRightInd/>
        <w:snapToGrid/>
        <w:spacing w:line="574" w:lineRule="exact"/>
        <w:ind w:firstLine="641"/>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“温江造”+家电以旧换新“四进”活动：</w:t>
      </w:r>
      <w:r>
        <w:rPr>
          <w:rFonts w:hint="default" w:ascii="Times New Roman" w:hAnsi="Times New Roman" w:eastAsia="仿宋_GB2312" w:cs="Times New Roman"/>
          <w:bCs/>
          <w:color w:val="000000"/>
          <w:sz w:val="32"/>
          <w:szCs w:val="32"/>
        </w:rPr>
        <w:t>进商圈、进社区、进机关、进园区。</w:t>
      </w:r>
    </w:p>
    <w:p w14:paraId="74CE3807">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“房票”安置：</w:t>
      </w:r>
      <w:r>
        <w:rPr>
          <w:rFonts w:hint="default" w:ascii="Times New Roman" w:hAnsi="Times New Roman" w:eastAsia="仿宋_GB2312" w:cs="Times New Roman"/>
          <w:bCs/>
          <w:color w:val="000000"/>
          <w:sz w:val="32"/>
          <w:szCs w:val="32"/>
        </w:rPr>
        <w:t>被征收人可选择将部分货币补偿款转为房票，持房票在相应地区房票购房房源库选购商品房，房票金额可作为房票持有人支付的等额现金，达成商品房买卖的，可获得房票使用金额一定比例的专项补贴。</w:t>
      </w:r>
    </w:p>
    <w:p w14:paraId="38881518">
      <w:pPr>
        <w:pStyle w:val="2"/>
        <w:keepNext w:val="0"/>
        <w:keepLines w:val="0"/>
        <w:pageBreakBefore w:val="0"/>
        <w:widowControl w:val="0"/>
        <w:kinsoku/>
        <w:wordWrap/>
        <w:topLinePunct w:val="0"/>
        <w:autoSpaceDE/>
        <w:autoSpaceDN/>
        <w:bidi w:val="0"/>
        <w:adjustRightInd/>
        <w:snapToGrid/>
        <w:spacing w:after="0" w:line="574"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信用修复“一件事”：</w:t>
      </w:r>
      <w:r>
        <w:rPr>
          <w:rFonts w:hint="default" w:ascii="Times New Roman" w:hAnsi="Times New Roman" w:eastAsia="仿宋_GB2312" w:cs="Times New Roman"/>
          <w:bCs/>
          <w:color w:val="000000"/>
          <w:sz w:val="32"/>
          <w:szCs w:val="32"/>
        </w:rPr>
        <w:t>持续优化信用修复流程，加快信用修复结果信息共享、互认，提升信用修复服务精细化水平，推动实现信用修复“一件事”“一次办”，实现信用修复领域“高效办成一件事”。</w:t>
      </w:r>
    </w:p>
    <w:p w14:paraId="2E865D84">
      <w:pPr>
        <w:keepNext w:val="0"/>
        <w:keepLines w:val="0"/>
        <w:pageBreakBefore w:val="0"/>
        <w:widowControl w:val="0"/>
        <w:kinsoku/>
        <w:wordWrap/>
        <w:topLinePunct w:val="0"/>
        <w:autoSpaceDE/>
        <w:autoSpaceDN/>
        <w:bidi w:val="0"/>
        <w:adjustRightInd/>
        <w:snapToGrid/>
        <w:spacing w:line="574"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温江GCP、GLP（巴南）中心：</w:t>
      </w:r>
      <w:r>
        <w:rPr>
          <w:rFonts w:hint="default" w:ascii="Times New Roman" w:hAnsi="Times New Roman" w:eastAsia="仿宋_GB2312" w:cs="Times New Roman"/>
          <w:bCs/>
          <w:color w:val="000000"/>
          <w:sz w:val="32"/>
          <w:szCs w:val="32"/>
        </w:rPr>
        <w:t>温江成都医学城临床前安全评价和药效学评价（巴南）中心、临床</w:t>
      </w:r>
      <w:r>
        <w:rPr>
          <w:rFonts w:hint="eastAsia" w:eastAsia="仿宋_GB2312" w:cs="Times New Roman"/>
          <w:bCs/>
          <w:color w:val="000000"/>
          <w:sz w:val="32"/>
          <w:szCs w:val="32"/>
          <w:lang w:eastAsia="zh-CN"/>
        </w:rPr>
        <w:t>试验</w:t>
      </w:r>
      <w:bookmarkStart w:id="0" w:name="_GoBack"/>
      <w:bookmarkEnd w:id="0"/>
      <w:r>
        <w:rPr>
          <w:rFonts w:hint="default" w:ascii="Times New Roman" w:hAnsi="Times New Roman" w:eastAsia="仿宋_GB2312" w:cs="Times New Roman"/>
          <w:bCs/>
          <w:color w:val="000000"/>
          <w:sz w:val="32"/>
          <w:szCs w:val="32"/>
        </w:rPr>
        <w:t>（巴南）中心。</w:t>
      </w:r>
    </w:p>
    <w:p w14:paraId="5D2DD7F3">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小区八件：</w:t>
      </w:r>
      <w:r>
        <w:rPr>
          <w:rFonts w:hint="default" w:ascii="Times New Roman" w:hAnsi="Times New Roman" w:eastAsia="仿宋_GB2312" w:cs="Times New Roman"/>
          <w:bCs/>
          <w:color w:val="000000"/>
          <w:sz w:val="32"/>
          <w:szCs w:val="32"/>
        </w:rPr>
        <w:t>一个共建主题、一枚家园标识、一则邻里公约、一份活动清单、一批关爱项目、一支“合伙人”队伍、一处共享空间、一张生活导图。</w:t>
      </w:r>
    </w:p>
    <w:p w14:paraId="463CEB1D">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方正黑体简体" w:cs="Times New Roman"/>
          <w:bCs/>
          <w:sz w:val="32"/>
          <w:szCs w:val="32"/>
        </w:rPr>
      </w:pPr>
      <w:r>
        <w:rPr>
          <w:rFonts w:hint="default" w:ascii="Times New Roman" w:hAnsi="Times New Roman" w:eastAsia="方正黑体简体" w:cs="Times New Roman"/>
          <w:bCs/>
          <w:sz w:val="32"/>
          <w:szCs w:val="32"/>
        </w:rPr>
        <w:t>两主一次八备用：</w:t>
      </w:r>
      <w:r>
        <w:rPr>
          <w:rFonts w:hint="default" w:ascii="Times New Roman" w:hAnsi="Times New Roman" w:eastAsia="仿宋_GB2312" w:cs="Times New Roman"/>
          <w:bCs/>
          <w:color w:val="000000"/>
          <w:sz w:val="32"/>
          <w:szCs w:val="32"/>
        </w:rPr>
        <w:t>指走马河、江安河两个主水源，成都市自来水七厂三期次水源和八个备用水源。</w:t>
      </w:r>
    </w:p>
    <w:p w14:paraId="01F2CDD2">
      <w:pPr>
        <w:pStyle w:val="2"/>
        <w:keepNext w:val="0"/>
        <w:keepLines w:val="0"/>
        <w:pageBreakBefore w:val="0"/>
        <w:widowControl w:val="0"/>
        <w:kinsoku/>
        <w:wordWrap/>
        <w:topLinePunct w:val="0"/>
        <w:autoSpaceDE/>
        <w:autoSpaceDN/>
        <w:bidi w:val="0"/>
        <w:adjustRightInd/>
        <w:snapToGrid/>
        <w:spacing w:after="0" w:line="574" w:lineRule="exact"/>
        <w:textAlignment w:val="auto"/>
        <w:rPr>
          <w:rFonts w:hint="default" w:ascii="Times New Roman" w:hAnsi="Times New Roman" w:eastAsia="方正黑体简体" w:cs="Times New Roman"/>
          <w:bCs/>
          <w:sz w:val="32"/>
          <w:szCs w:val="32"/>
        </w:rPr>
      </w:pPr>
      <w:r>
        <w:rPr>
          <w:rFonts w:hint="default" w:ascii="Times New Roman" w:hAnsi="Times New Roman" w:cs="Times New Roman"/>
        </w:rPr>
        <w:t xml:space="preserve">    </w:t>
      </w:r>
      <w:r>
        <w:rPr>
          <w:rFonts w:hint="default" w:ascii="Times New Roman" w:hAnsi="Times New Roman" w:eastAsia="方正黑体简体" w:cs="Times New Roman"/>
          <w:bCs/>
          <w:sz w:val="32"/>
          <w:szCs w:val="32"/>
          <w:u w:val="none" w:color="FFFFFF"/>
        </w:rPr>
        <w:t>“1+1+5”推进体系：</w:t>
      </w:r>
      <w:r>
        <w:rPr>
          <w:rFonts w:hint="default" w:ascii="Times New Roman" w:hAnsi="Times New Roman" w:eastAsia="仿宋_GB2312" w:cs="Times New Roman"/>
          <w:bCs/>
          <w:color w:val="000000"/>
          <w:sz w:val="32"/>
          <w:szCs w:val="32"/>
          <w:u w:val="none" w:color="FFFFFF"/>
        </w:rPr>
        <w:t>1个“立园满园”行动方案，1个组织架构，5大重点攻坚任务。</w:t>
      </w:r>
    </w:p>
    <w:p w14:paraId="0265ED20">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CRO：</w:t>
      </w:r>
      <w:r>
        <w:rPr>
          <w:rFonts w:hint="default" w:ascii="Times New Roman" w:hAnsi="Times New Roman" w:eastAsia="仿宋_GB2312" w:cs="Times New Roman"/>
          <w:bCs/>
          <w:color w:val="000000"/>
          <w:sz w:val="32"/>
          <w:szCs w:val="32"/>
        </w:rPr>
        <w:t>合同研究组织（Contract Research Organization），负责实施药物开发过程所涉及的部分或全部活动，其基本目的在于代表制药企业客户进行部分或全部的科学或医学研究，主要提供包括新药产品发现、研发、开发等临床前研究及临床数据管理、新药注册申请等专业技术在内的服务支持。</w:t>
      </w:r>
    </w:p>
    <w:p w14:paraId="51EF4AD2">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具身机器人：</w:t>
      </w:r>
      <w:r>
        <w:rPr>
          <w:rFonts w:hint="default" w:ascii="Times New Roman" w:hAnsi="Times New Roman" w:eastAsia="仿宋_GB2312" w:cs="Times New Roman"/>
          <w:bCs/>
          <w:color w:val="000000"/>
          <w:sz w:val="32"/>
          <w:szCs w:val="32"/>
        </w:rPr>
        <w:t>一种基于物理身体，具备感知（如摄像头、激光雷达、各类传感器等）、运动（借助电机、液压、气动等执行器）和交互能力，能通过自身与环境实时互动，利用感知器官获取环境信息并凭借执行器执行任务，在工业制造（如焊接、组装、搬运）、服务领域（迎宾、点餐、医疗辅助等）、农业、教育等多领域广泛应用，以完成特定任务的智能系统。</w:t>
      </w:r>
    </w:p>
    <w:p w14:paraId="1AE8591A">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“两重”“两新”“三大工程”：</w:t>
      </w:r>
      <w:r>
        <w:rPr>
          <w:rFonts w:hint="default" w:ascii="Times New Roman" w:hAnsi="Times New Roman" w:eastAsia="仿宋_GB2312" w:cs="Times New Roman"/>
          <w:bCs/>
          <w:color w:val="000000"/>
          <w:sz w:val="32"/>
          <w:szCs w:val="32"/>
        </w:rPr>
        <w:t>“两重”指国家重大战略实施和重点领域安全能力建设；“两新”指大规模设备更新和消费品以旧换新；“三大工程”指保障性住房建设、“平急两用”公共基础设施建设、城中村改造。</w:t>
      </w:r>
    </w:p>
    <w:p w14:paraId="04416EBE">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新形势下招商引资14条：</w:t>
      </w:r>
      <w:r>
        <w:rPr>
          <w:rFonts w:hint="default" w:ascii="Times New Roman" w:hAnsi="Times New Roman" w:eastAsia="仿宋_GB2312" w:cs="Times New Roman"/>
          <w:bCs/>
          <w:color w:val="000000"/>
          <w:sz w:val="32"/>
          <w:szCs w:val="32"/>
        </w:rPr>
        <w:t>成都市对外开放工作领导小组制定并印发的《新形势下促进全市招商引资高质量发展的若干措施》，共14条。</w:t>
      </w:r>
    </w:p>
    <w:p w14:paraId="19BC58F5">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两机制+一平台：</w:t>
      </w:r>
      <w:r>
        <w:rPr>
          <w:rFonts w:hint="default" w:ascii="Times New Roman" w:hAnsi="Times New Roman" w:eastAsia="仿宋_GB2312" w:cs="Times New Roman"/>
          <w:bCs/>
          <w:color w:val="000000"/>
          <w:sz w:val="32"/>
          <w:szCs w:val="32"/>
        </w:rPr>
        <w:t>两机制指成都市温江区重大项目促建工作机制和成都市温江区产业化项目联审联批工作机制，一平台指温江区重大项目调度指挥信息平台。</w:t>
      </w:r>
    </w:p>
    <w:p w14:paraId="78AF3353">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校（院）企地人才“三向交流”：</w:t>
      </w:r>
      <w:r>
        <w:rPr>
          <w:rFonts w:hint="default" w:ascii="Times New Roman" w:hAnsi="Times New Roman" w:eastAsia="仿宋_GB2312" w:cs="Times New Roman"/>
          <w:bCs/>
          <w:color w:val="000000"/>
          <w:sz w:val="32"/>
          <w:szCs w:val="32"/>
        </w:rPr>
        <w:t>校（院）企地人才“三向交流”是温江区围绕校（院）企地协同创新，首创提出的工作举措，旨在以关键人才的流动，带动资金、技术等要素的流通。</w:t>
      </w:r>
    </w:p>
    <w:p w14:paraId="28C3D4DF">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耐心资本：</w:t>
      </w:r>
      <w:r>
        <w:rPr>
          <w:rFonts w:hint="default" w:ascii="Times New Roman" w:hAnsi="Times New Roman" w:eastAsia="仿宋_GB2312" w:cs="Times New Roman"/>
          <w:bCs/>
          <w:color w:val="000000"/>
          <w:sz w:val="32"/>
          <w:szCs w:val="32"/>
        </w:rPr>
        <w:t>一种专注于长期投资的资本形式，不以追求短期收益为首要目标，而更重视长期回报的项目或投资活动，通常较少受到市场短期波动干扰，是对资本回报有较长期限展望且对风险有较高承受力的资本。</w:t>
      </w:r>
    </w:p>
    <w:p w14:paraId="6C323462">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lang w:val="zh-TW" w:eastAsia="zh-TW"/>
        </w:rPr>
        <w:t>特殊物品出入境</w:t>
      </w:r>
      <w:r>
        <w:rPr>
          <w:rFonts w:hint="default" w:ascii="Times New Roman" w:hAnsi="Times New Roman" w:eastAsia="方正黑体简体" w:cs="Times New Roman"/>
          <w:bCs/>
          <w:sz w:val="32"/>
          <w:szCs w:val="32"/>
          <w:lang w:val="zh-TW"/>
        </w:rPr>
        <w:t>“</w:t>
      </w:r>
      <w:r>
        <w:rPr>
          <w:rFonts w:hint="default" w:ascii="Times New Roman" w:hAnsi="Times New Roman" w:eastAsia="方正黑体简体" w:cs="Times New Roman"/>
          <w:bCs/>
          <w:sz w:val="32"/>
          <w:szCs w:val="32"/>
        </w:rPr>
        <w:t>关地协同</w:t>
      </w:r>
      <w:r>
        <w:rPr>
          <w:rFonts w:hint="default" w:ascii="Times New Roman" w:hAnsi="Times New Roman" w:eastAsia="方正黑体简体" w:cs="Times New Roman"/>
          <w:bCs/>
          <w:sz w:val="32"/>
          <w:szCs w:val="32"/>
          <w:lang w:val="zh-TW"/>
        </w:rPr>
        <w:t>”</w:t>
      </w:r>
      <w:r>
        <w:rPr>
          <w:rFonts w:hint="default" w:ascii="Times New Roman" w:hAnsi="Times New Roman" w:eastAsia="方正黑体简体" w:cs="Times New Roman"/>
          <w:bCs/>
          <w:sz w:val="32"/>
          <w:szCs w:val="32"/>
        </w:rPr>
        <w:t>：</w:t>
      </w:r>
      <w:r>
        <w:rPr>
          <w:rFonts w:hint="default" w:ascii="Times New Roman" w:hAnsi="Times New Roman" w:eastAsia="仿宋_GB2312" w:cs="Times New Roman"/>
          <w:bCs/>
          <w:color w:val="000000"/>
          <w:sz w:val="32"/>
          <w:szCs w:val="32"/>
        </w:rPr>
        <w:t>根据“分级联动、有序推进、协同共治、风险可控、通关便利”原则，开展生物医药特殊物品进出境“关地协同”工作，建立“静态”＋“动态”日常监管协作方式，“口岸”＋“属地”全链条闭环管理模式，“线上”＋“线下”监测应急互助机制，以管促放，实现进出境生物安全风险防控综合管理，使生物医药特殊物品进得来、通得快、管得住。</w:t>
      </w:r>
    </w:p>
    <w:p w14:paraId="71808661">
      <w:pPr>
        <w:keepNext w:val="0"/>
        <w:keepLines w:val="0"/>
        <w:pageBreakBefore w:val="0"/>
        <w:widowControl w:val="0"/>
        <w:kinsoku/>
        <w:wordWrap/>
        <w:topLinePunct w:val="0"/>
        <w:autoSpaceDE/>
        <w:autoSpaceDN/>
        <w:bidi w:val="0"/>
        <w:adjustRightInd/>
        <w:snapToGrid/>
        <w:spacing w:line="574"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两段准入—附条件提离：</w:t>
      </w:r>
      <w:r>
        <w:rPr>
          <w:rFonts w:hint="default" w:ascii="Times New Roman" w:hAnsi="Times New Roman" w:eastAsia="仿宋_GB2312" w:cs="Times New Roman"/>
          <w:bCs/>
          <w:color w:val="000000"/>
          <w:sz w:val="32"/>
          <w:szCs w:val="32"/>
        </w:rPr>
        <w:t>指</w:t>
      </w:r>
      <w:r>
        <w:rPr>
          <w:rFonts w:hint="default" w:ascii="Times New Roman" w:hAnsi="Times New Roman" w:eastAsia="仿宋_GB2312" w:cs="Times New Roman"/>
          <w:bCs/>
          <w:color w:val="000000"/>
          <w:sz w:val="32"/>
          <w:szCs w:val="32"/>
          <w:u w:val="none" w:color="FFFFFF"/>
        </w:rPr>
        <w:t>已</w:t>
      </w:r>
      <w:r>
        <w:rPr>
          <w:rFonts w:hint="default" w:ascii="Times New Roman" w:hAnsi="Times New Roman" w:eastAsia="仿宋_GB2312" w:cs="Times New Roman"/>
          <w:bCs/>
          <w:color w:val="000000"/>
          <w:sz w:val="32"/>
          <w:szCs w:val="32"/>
        </w:rPr>
        <w:t>进口货物检查未见异常且取样送检后，可根据企业申请，在结果出具前，允许提离进境地口岸海关监管区，存放于符合要求的场所。</w:t>
      </w:r>
    </w:p>
    <w:p w14:paraId="6C15B777">
      <w:pPr>
        <w:pStyle w:val="2"/>
        <w:keepNext w:val="0"/>
        <w:keepLines w:val="0"/>
        <w:pageBreakBefore w:val="0"/>
        <w:widowControl w:val="0"/>
        <w:kinsoku/>
        <w:wordWrap/>
        <w:topLinePunct w:val="0"/>
        <w:autoSpaceDE/>
        <w:autoSpaceDN/>
        <w:bidi w:val="0"/>
        <w:adjustRightInd/>
        <w:snapToGrid/>
        <w:spacing w:after="0" w:line="574" w:lineRule="exact"/>
        <w:textAlignment w:val="auto"/>
        <w:rPr>
          <w:rFonts w:hint="default" w:ascii="Times New Roman" w:hAnsi="Times New Roman" w:eastAsia="方正黑体简体" w:cs="Times New Roman"/>
          <w:bCs/>
          <w:sz w:val="32"/>
          <w:szCs w:val="32"/>
        </w:rPr>
      </w:pPr>
      <w:r>
        <w:rPr>
          <w:rFonts w:hint="default" w:ascii="Times New Roman" w:hAnsi="Times New Roman" w:eastAsia="方正黑体简体" w:cs="Times New Roman"/>
          <w:bCs/>
          <w:sz w:val="32"/>
          <w:szCs w:val="32"/>
        </w:rPr>
        <w:t xml:space="preserve">    AEO高级认证企业认定：</w:t>
      </w:r>
      <w:r>
        <w:rPr>
          <w:rFonts w:hint="default" w:ascii="Times New Roman" w:hAnsi="Times New Roman" w:eastAsia="仿宋_GB2312" w:cs="Times New Roman"/>
          <w:bCs/>
          <w:color w:val="000000"/>
          <w:sz w:val="32"/>
          <w:szCs w:val="32"/>
        </w:rPr>
        <w:t>《中华人民共和国海关注册登记和备案企业信用管理办法》（署令〔2021〕251号）明确，经认证的经营者（AEO），是指以任何一种方式参与货物国际流通，符合海关总署规定标准的企业。</w:t>
      </w:r>
    </w:p>
    <w:p w14:paraId="0F981FE1">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u w:val="none" w:color="FFFFFF"/>
        </w:rPr>
        <w:t>农村土地“三权分置”</w:t>
      </w:r>
      <w:r>
        <w:rPr>
          <w:rFonts w:hint="default" w:ascii="Times New Roman" w:hAnsi="Times New Roman" w:eastAsia="方正黑体简体" w:cs="Times New Roman"/>
          <w:bCs/>
          <w:sz w:val="32"/>
          <w:szCs w:val="32"/>
        </w:rPr>
        <w:t>改革：</w:t>
      </w:r>
      <w:r>
        <w:rPr>
          <w:rFonts w:hint="default" w:ascii="Times New Roman" w:hAnsi="Times New Roman" w:eastAsia="仿宋_GB2312" w:cs="Times New Roman"/>
          <w:bCs/>
          <w:color w:val="000000"/>
          <w:sz w:val="32"/>
          <w:szCs w:val="32"/>
        </w:rPr>
        <w:t>指农村土地所有权、承包权、经营权分置改革。</w:t>
      </w:r>
    </w:p>
    <w:p w14:paraId="443140A6">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美丽细胞：</w:t>
      </w:r>
      <w:r>
        <w:rPr>
          <w:rFonts w:hint="default" w:ascii="Times New Roman" w:hAnsi="Times New Roman" w:eastAsia="仿宋_GB2312" w:cs="Times New Roman"/>
          <w:bCs/>
          <w:color w:val="000000"/>
          <w:sz w:val="32"/>
          <w:szCs w:val="32"/>
        </w:rPr>
        <w:t>包括美丽河湖、美丽城市、美丽乡村、美丽社区、美丽学校、美丽园区等。</w:t>
      </w:r>
    </w:p>
    <w:p w14:paraId="5C7BE84F">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五清四定两美：</w:t>
      </w:r>
      <w:r>
        <w:rPr>
          <w:rFonts w:hint="default" w:ascii="Times New Roman" w:hAnsi="Times New Roman" w:eastAsia="仿宋_GB2312" w:cs="Times New Roman"/>
          <w:bCs/>
          <w:color w:val="000000"/>
          <w:sz w:val="32"/>
          <w:szCs w:val="32"/>
        </w:rPr>
        <w:t>“五清”即地面道路清扫、水面水体清洁、广告墙面清理、垃圾堆物清运和违章搭建清除；“四定”指的是划线定点停车、定时保洁清扫、定期洒水作业和定位规范经营；“两美”即建设美丽庭院和</w:t>
      </w:r>
      <w:r>
        <w:rPr>
          <w:rFonts w:hint="default" w:ascii="Times New Roman" w:hAnsi="Times New Roman" w:eastAsia="仿宋_GB2312" w:cs="Times New Roman"/>
          <w:bCs/>
          <w:color w:val="000000"/>
          <w:sz w:val="32"/>
          <w:szCs w:val="32"/>
          <w:u w:val="none" w:color="FFFFFF"/>
        </w:rPr>
        <w:t>营建</w:t>
      </w:r>
      <w:r>
        <w:rPr>
          <w:rFonts w:hint="default" w:ascii="Times New Roman" w:hAnsi="Times New Roman" w:eastAsia="仿宋_GB2312" w:cs="Times New Roman"/>
          <w:bCs/>
          <w:color w:val="000000"/>
          <w:sz w:val="32"/>
          <w:szCs w:val="32"/>
        </w:rPr>
        <w:t>园林美景。</w:t>
      </w:r>
    </w:p>
    <w:p w14:paraId="768865A2">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无废城市：</w:t>
      </w:r>
      <w:r>
        <w:rPr>
          <w:rFonts w:hint="default" w:ascii="Times New Roman" w:hAnsi="Times New Roman" w:eastAsia="仿宋_GB2312" w:cs="Times New Roman"/>
          <w:bCs/>
          <w:color w:val="000000"/>
          <w:sz w:val="32"/>
          <w:szCs w:val="32"/>
        </w:rPr>
        <w:t>城市实现固体废物源头减量和资源化利用，最大限度减少填埋量，将固体废物对环境的影响降到最低，推动形成绿色环保的发展方式和生活方式。</w:t>
      </w:r>
    </w:p>
    <w:p w14:paraId="1C365906">
      <w:pPr>
        <w:pStyle w:val="2"/>
        <w:keepNext w:val="0"/>
        <w:keepLines w:val="0"/>
        <w:pageBreakBefore w:val="0"/>
        <w:widowControl w:val="0"/>
        <w:kinsoku/>
        <w:wordWrap/>
        <w:topLinePunct w:val="0"/>
        <w:autoSpaceDE/>
        <w:autoSpaceDN/>
        <w:bidi w:val="0"/>
        <w:adjustRightInd/>
        <w:snapToGrid/>
        <w:spacing w:after="0"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温江女性六大行动：</w:t>
      </w:r>
      <w:r>
        <w:rPr>
          <w:rFonts w:hint="default" w:ascii="Times New Roman" w:hAnsi="Times New Roman" w:eastAsia="仿宋_GB2312" w:cs="Times New Roman"/>
          <w:bCs/>
          <w:color w:val="000000"/>
          <w:sz w:val="32"/>
          <w:szCs w:val="32"/>
        </w:rPr>
        <w:t>实施巾帼同心引领、巾帼建功、家庭工作提升、巾帼维权服务、创优创美、改革破难提能行动。</w:t>
      </w:r>
    </w:p>
    <w:p w14:paraId="5E9BE4C3">
      <w:pPr>
        <w:keepNext w:val="0"/>
        <w:keepLines w:val="0"/>
        <w:pageBreakBefore w:val="0"/>
        <w:widowControl w:val="0"/>
        <w:kinsoku/>
        <w:wordWrap/>
        <w:topLinePunct w:val="0"/>
        <w:autoSpaceDE/>
        <w:autoSpaceDN/>
        <w:bidi w:val="0"/>
        <w:adjustRightInd/>
        <w:snapToGrid/>
        <w:spacing w:line="574" w:lineRule="exact"/>
        <w:ind w:firstLine="640"/>
        <w:textAlignment w:val="auto"/>
        <w:rPr>
          <w:rFonts w:hint="default" w:ascii="Times New Roman" w:hAnsi="Times New Roman" w:eastAsia="仿宋_GB2312" w:cs="Times New Roman"/>
          <w:bCs/>
          <w:color w:val="000000"/>
          <w:sz w:val="32"/>
          <w:szCs w:val="32"/>
        </w:rPr>
      </w:pPr>
      <w:r>
        <w:rPr>
          <w:rFonts w:hint="default" w:ascii="Times New Roman" w:hAnsi="Times New Roman" w:eastAsia="方正黑体简体" w:cs="Times New Roman"/>
          <w:bCs/>
          <w:sz w:val="32"/>
          <w:szCs w:val="32"/>
        </w:rPr>
        <w:t>两企三新：</w:t>
      </w:r>
      <w:r>
        <w:rPr>
          <w:rFonts w:hint="default" w:ascii="Times New Roman" w:hAnsi="Times New Roman" w:eastAsia="仿宋_GB2312" w:cs="Times New Roman"/>
          <w:bCs/>
          <w:color w:val="000000"/>
          <w:sz w:val="32"/>
          <w:szCs w:val="32"/>
        </w:rPr>
        <w:t>混合所有制企业、非公有制企业和新经济组织、新社会组织、新就业群体。</w:t>
      </w:r>
    </w:p>
    <w:p w14:paraId="61FD972A">
      <w:pPr>
        <w:keepNext w:val="0"/>
        <w:keepLines w:val="0"/>
        <w:pageBreakBefore w:val="0"/>
        <w:widowControl w:val="0"/>
        <w:kinsoku/>
        <w:wordWrap/>
        <w:overflowPunct w:val="0"/>
        <w:topLinePunct w:val="0"/>
        <w:autoSpaceDE/>
        <w:autoSpaceDN/>
        <w:bidi w:val="0"/>
        <w:adjustRightInd/>
        <w:snapToGrid/>
        <w:spacing w:line="574" w:lineRule="exact"/>
        <w:jc w:val="left"/>
        <w:textAlignment w:val="auto"/>
        <w:rPr>
          <w:rFonts w:hint="default" w:ascii="Times New Roman" w:hAnsi="Times New Roman" w:cs="Times New Roman"/>
          <w:szCs w:val="20"/>
        </w:rPr>
      </w:pPr>
      <w:r>
        <w:rPr>
          <w:rFonts w:hint="default" w:ascii="Times New Roman" w:hAnsi="Times New Roman" w:eastAsia="方正黑体简体" w:cs="Times New Roman"/>
          <w:bCs/>
          <w:sz w:val="32"/>
          <w:szCs w:val="32"/>
        </w:rPr>
        <w:t xml:space="preserve">    九小场所：</w:t>
      </w:r>
      <w:r>
        <w:rPr>
          <w:rFonts w:hint="default" w:ascii="Times New Roman" w:hAnsi="Times New Roman" w:eastAsia="仿宋_GB2312" w:cs="Times New Roman"/>
          <w:bCs/>
          <w:color w:val="000000"/>
          <w:sz w:val="32"/>
          <w:szCs w:val="32"/>
        </w:rPr>
        <w:t>小型学校或幼儿园、小医院、小商场、小餐饮场所、小旅馆、小歌舞娱乐场所、小网吧、小美容洗浴场所、小生产加工企业，泛指对外经营的所有小型人员密集场所。</w:t>
      </w:r>
    </w:p>
    <w:p w14:paraId="03DECF9B">
      <w:pPr>
        <w:keepNext w:val="0"/>
        <w:keepLines w:val="0"/>
        <w:pageBreakBefore w:val="0"/>
        <w:widowControl w:val="0"/>
        <w:kinsoku/>
        <w:wordWrap/>
        <w:overflowPunct/>
        <w:topLinePunct w:val="0"/>
        <w:autoSpaceDE/>
        <w:autoSpaceDN/>
        <w:bidi w:val="0"/>
        <w:adjustRightInd/>
        <w:snapToGrid/>
        <w:spacing w:line="574" w:lineRule="exact"/>
        <w:textAlignment w:val="auto"/>
        <w:rPr>
          <w:rFonts w:hint="default" w:ascii="Times New Roman" w:hAnsi="Times New Roman" w:eastAsia="仿宋_GB2312" w:cs="Times New Roman"/>
          <w:b w:val="0"/>
          <w:bCs/>
          <w:kern w:val="2"/>
          <w:sz w:val="32"/>
          <w:szCs w:val="32"/>
          <w:lang w:val="en-US" w:eastAsia="zh-CN" w:bidi="ar-SA"/>
        </w:rPr>
      </w:pPr>
    </w:p>
    <w:p w14:paraId="738CD6C2">
      <w:pPr>
        <w:rPr>
          <w:rFonts w:hint="default" w:ascii="Times New Roman" w:hAnsi="Times New Roman" w:eastAsia="仿宋_GB2312" w:cs="Times New Roman"/>
          <w:color w:val="000000"/>
          <w:szCs w:val="21"/>
        </w:rPr>
      </w:pPr>
    </w:p>
    <w:p w14:paraId="0A4A9716">
      <w:pPr>
        <w:pStyle w:val="2"/>
        <w:rPr>
          <w:rFonts w:hint="default" w:ascii="Times New Roman" w:hAnsi="Times New Roman" w:cs="Times New Roman"/>
        </w:rPr>
      </w:pPr>
    </w:p>
    <w:p w14:paraId="1D27FF3D">
      <w:pPr>
        <w:pStyle w:val="2"/>
        <w:rPr>
          <w:rFonts w:hint="default" w:ascii="Times New Roman" w:hAnsi="Times New Roman" w:eastAsia="仿宋_GB2312" w:cs="Times New Roman"/>
          <w:color w:val="000000"/>
          <w:szCs w:val="21"/>
        </w:rPr>
      </w:pPr>
    </w:p>
    <w:p w14:paraId="6038A7F6">
      <w:pPr>
        <w:rPr>
          <w:rFonts w:hint="default" w:ascii="Times New Roman" w:hAnsi="Times New Roman" w:eastAsia="仿宋_GB2312" w:cs="Times New Roman"/>
          <w:color w:val="000000"/>
          <w:szCs w:val="21"/>
        </w:rPr>
      </w:pPr>
    </w:p>
    <w:p w14:paraId="0D4B155D">
      <w:pPr>
        <w:pStyle w:val="2"/>
        <w:rPr>
          <w:rFonts w:hint="default" w:ascii="Times New Roman" w:hAnsi="Times New Roman" w:cs="Times New Roman"/>
        </w:rPr>
      </w:pPr>
    </w:p>
    <w:p w14:paraId="60E615AB">
      <w:pPr>
        <w:spacing w:line="900" w:lineRule="exact"/>
        <w:rPr>
          <w:rFonts w:hint="default" w:ascii="Times New Roman" w:hAnsi="Times New Roman" w:eastAsia="仿宋_GB2312" w:cs="Times New Roman"/>
          <w:color w:val="000000"/>
          <w:szCs w:val="21"/>
        </w:rPr>
      </w:pPr>
    </w:p>
    <w:p w14:paraId="52995746">
      <w:pPr>
        <w:spacing w:line="900" w:lineRule="exact"/>
        <w:rPr>
          <w:rFonts w:hint="default" w:ascii="Times New Roman" w:hAnsi="Times New Roman" w:eastAsia="仿宋_GB2312" w:cs="Times New Roman"/>
          <w:color w:val="000000"/>
          <w:szCs w:val="21"/>
        </w:rPr>
      </w:pPr>
    </w:p>
    <w:p w14:paraId="37E22FD4">
      <w:pPr>
        <w:spacing w:line="900" w:lineRule="exact"/>
        <w:rPr>
          <w:rFonts w:hint="default" w:ascii="Times New Roman" w:hAnsi="Times New Roman" w:eastAsia="仿宋_GB2312" w:cs="Times New Roman"/>
          <w:color w:val="000000"/>
          <w:szCs w:val="21"/>
        </w:rPr>
      </w:pPr>
    </w:p>
    <w:p w14:paraId="7F4B5C2F">
      <w:pPr>
        <w:pStyle w:val="2"/>
        <w:rPr>
          <w:rFonts w:hint="default" w:ascii="Times New Roman" w:hAnsi="Times New Roman" w:eastAsia="仿宋_GB2312" w:cs="Times New Roman"/>
          <w:color w:val="000000"/>
          <w:szCs w:val="21"/>
        </w:rPr>
      </w:pPr>
    </w:p>
    <w:p w14:paraId="7404CE3E">
      <w:pPr>
        <w:rPr>
          <w:rFonts w:hint="default" w:ascii="Times New Roman" w:hAnsi="Times New Roman" w:eastAsia="仿宋_GB2312" w:cs="Times New Roman"/>
          <w:color w:val="000000"/>
          <w:szCs w:val="21"/>
        </w:rPr>
      </w:pPr>
    </w:p>
    <w:p w14:paraId="1558E0DF">
      <w:pPr>
        <w:pStyle w:val="2"/>
        <w:rPr>
          <w:rFonts w:hint="default" w:ascii="Times New Roman" w:hAnsi="Times New Roman" w:eastAsia="仿宋_GB2312" w:cs="Times New Roman"/>
          <w:color w:val="000000"/>
          <w:szCs w:val="21"/>
        </w:rPr>
      </w:pPr>
    </w:p>
    <w:p w14:paraId="0874E7F9">
      <w:pPr>
        <w:rPr>
          <w:rFonts w:hint="default" w:ascii="Times New Roman" w:hAnsi="Times New Roman" w:eastAsia="仿宋_GB2312" w:cs="Times New Roman"/>
          <w:color w:val="000000"/>
          <w:szCs w:val="21"/>
        </w:rPr>
      </w:pPr>
    </w:p>
    <w:p w14:paraId="07254ECB">
      <w:pPr>
        <w:pStyle w:val="2"/>
        <w:rPr>
          <w:rFonts w:hint="default" w:ascii="Times New Roman" w:hAnsi="Times New Roman" w:eastAsia="仿宋_GB2312" w:cs="Times New Roman"/>
          <w:color w:val="000000"/>
          <w:szCs w:val="21"/>
        </w:rPr>
      </w:pPr>
    </w:p>
    <w:p w14:paraId="1413F330">
      <w:pPr>
        <w:rPr>
          <w:rFonts w:hint="default" w:ascii="Times New Roman" w:hAnsi="Times New Roman" w:eastAsia="仿宋_GB2312" w:cs="Times New Roman"/>
          <w:color w:val="000000"/>
          <w:szCs w:val="21"/>
        </w:rPr>
      </w:pPr>
    </w:p>
    <w:p w14:paraId="7DCE773F">
      <w:pPr>
        <w:pStyle w:val="2"/>
        <w:rPr>
          <w:rFonts w:hint="default" w:ascii="Times New Roman" w:hAnsi="Times New Roman" w:eastAsia="仿宋_GB2312" w:cs="Times New Roman"/>
          <w:color w:val="000000"/>
          <w:szCs w:val="21"/>
        </w:rPr>
      </w:pPr>
    </w:p>
    <w:p w14:paraId="2CEC26CA">
      <w:pPr>
        <w:rPr>
          <w:rFonts w:hint="default"/>
        </w:rPr>
      </w:pPr>
    </w:p>
    <w:sectPr>
      <w:headerReference r:id="rId3" w:type="default"/>
      <w:footerReference r:id="rId4" w:type="default"/>
      <w:footerReference r:id="rId5" w:type="even"/>
      <w:pgSz w:w="11906" w:h="16838"/>
      <w:pgMar w:top="1928" w:right="1531" w:bottom="1928" w:left="1531" w:header="851" w:footer="141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Georgia">
    <w:altName w:val="Noto Sans Syriac Eastern"/>
    <w:panose1 w:val="02040502050405020303"/>
    <w:charset w:val="00"/>
    <w:family w:val="roman"/>
    <w:pitch w:val="default"/>
    <w:sig w:usb0="00000000" w:usb1="00000000" w:usb2="00000000" w:usb3="00000000" w:csb0="200000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9E03A">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843145">
                          <w:pPr>
                            <w:pStyle w:val="9"/>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47</w:t>
                          </w:r>
                          <w:r>
                            <w:rPr>
                              <w:rFonts w:asciiTheme="minorEastAsia" w:hAnsiTheme="minorEastAsia" w:eastAsiaTheme="minorEastAsia" w:cstheme="minorEastAsia"/>
                              <w:sz w:val="28"/>
                              <w:szCs w:val="28"/>
                            </w:rPr>
                            <w:fldChar w:fldCharType="end"/>
                          </w:r>
                          <w:r>
                            <w:rPr>
                              <w:rFonts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4D843145">
                    <w:pPr>
                      <w:pStyle w:val="9"/>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47</w:t>
                    </w:r>
                    <w:r>
                      <w:rPr>
                        <w:rFonts w:asciiTheme="minorEastAsia" w:hAnsiTheme="minorEastAsia" w:eastAsiaTheme="minorEastAsia" w:cstheme="minorEastAsia"/>
                        <w:sz w:val="28"/>
                        <w:szCs w:val="28"/>
                      </w:rPr>
                      <w:fldChar w:fldCharType="end"/>
                    </w:r>
                    <w:r>
                      <w:rPr>
                        <w:rFonts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8A66B">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6F97BF">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326F97BF">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284D1">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iMzYxZWVkYjExOTkxNjRhMDMwZjhhY2JhMGQyOTIifQ=="/>
  </w:docVars>
  <w:rsids>
    <w:rsidRoot w:val="00055AEA"/>
    <w:rsid w:val="00001B29"/>
    <w:rsid w:val="0000346A"/>
    <w:rsid w:val="000038AA"/>
    <w:rsid w:val="000150FC"/>
    <w:rsid w:val="00015537"/>
    <w:rsid w:val="0001764B"/>
    <w:rsid w:val="00020183"/>
    <w:rsid w:val="00021481"/>
    <w:rsid w:val="0002228B"/>
    <w:rsid w:val="00022A00"/>
    <w:rsid w:val="00022C26"/>
    <w:rsid w:val="00024424"/>
    <w:rsid w:val="000252EE"/>
    <w:rsid w:val="00025CE5"/>
    <w:rsid w:val="000320E0"/>
    <w:rsid w:val="0003306B"/>
    <w:rsid w:val="0003313D"/>
    <w:rsid w:val="000337FC"/>
    <w:rsid w:val="00034CE8"/>
    <w:rsid w:val="00035DDA"/>
    <w:rsid w:val="00040313"/>
    <w:rsid w:val="000409C6"/>
    <w:rsid w:val="000439DC"/>
    <w:rsid w:val="00044B4C"/>
    <w:rsid w:val="00044FDA"/>
    <w:rsid w:val="000506C2"/>
    <w:rsid w:val="000528B1"/>
    <w:rsid w:val="00053C55"/>
    <w:rsid w:val="000540E9"/>
    <w:rsid w:val="00055AEA"/>
    <w:rsid w:val="000561E3"/>
    <w:rsid w:val="000610B1"/>
    <w:rsid w:val="00062238"/>
    <w:rsid w:val="0006316C"/>
    <w:rsid w:val="00066071"/>
    <w:rsid w:val="00066847"/>
    <w:rsid w:val="0006772C"/>
    <w:rsid w:val="00072732"/>
    <w:rsid w:val="00072A42"/>
    <w:rsid w:val="00073155"/>
    <w:rsid w:val="0007357C"/>
    <w:rsid w:val="0007572C"/>
    <w:rsid w:val="00075876"/>
    <w:rsid w:val="00075DB3"/>
    <w:rsid w:val="000779EE"/>
    <w:rsid w:val="0008059D"/>
    <w:rsid w:val="00081BAC"/>
    <w:rsid w:val="000820AC"/>
    <w:rsid w:val="00083F82"/>
    <w:rsid w:val="0008420E"/>
    <w:rsid w:val="00084424"/>
    <w:rsid w:val="00084A79"/>
    <w:rsid w:val="00084D23"/>
    <w:rsid w:val="00093449"/>
    <w:rsid w:val="00093B5A"/>
    <w:rsid w:val="00095FC6"/>
    <w:rsid w:val="000978E3"/>
    <w:rsid w:val="000A19E9"/>
    <w:rsid w:val="000A3A8A"/>
    <w:rsid w:val="000A3F4E"/>
    <w:rsid w:val="000A414E"/>
    <w:rsid w:val="000A46D9"/>
    <w:rsid w:val="000A4DE8"/>
    <w:rsid w:val="000B0B43"/>
    <w:rsid w:val="000B2AFD"/>
    <w:rsid w:val="000B38CE"/>
    <w:rsid w:val="000B40F2"/>
    <w:rsid w:val="000B7726"/>
    <w:rsid w:val="000C30DE"/>
    <w:rsid w:val="000E29B4"/>
    <w:rsid w:val="000E6D54"/>
    <w:rsid w:val="000F1237"/>
    <w:rsid w:val="00100568"/>
    <w:rsid w:val="001025B5"/>
    <w:rsid w:val="0010369D"/>
    <w:rsid w:val="00105246"/>
    <w:rsid w:val="00111C4D"/>
    <w:rsid w:val="00111EA8"/>
    <w:rsid w:val="001120DD"/>
    <w:rsid w:val="001160EF"/>
    <w:rsid w:val="0011744B"/>
    <w:rsid w:val="00120CF1"/>
    <w:rsid w:val="00120E4F"/>
    <w:rsid w:val="00126485"/>
    <w:rsid w:val="00127855"/>
    <w:rsid w:val="00131D1F"/>
    <w:rsid w:val="001324D5"/>
    <w:rsid w:val="001334BF"/>
    <w:rsid w:val="00133BEF"/>
    <w:rsid w:val="001355BE"/>
    <w:rsid w:val="0013718B"/>
    <w:rsid w:val="0014122A"/>
    <w:rsid w:val="00143A9D"/>
    <w:rsid w:val="001448ED"/>
    <w:rsid w:val="00146727"/>
    <w:rsid w:val="0015047A"/>
    <w:rsid w:val="001545D4"/>
    <w:rsid w:val="001562CB"/>
    <w:rsid w:val="00160A7F"/>
    <w:rsid w:val="00164D4D"/>
    <w:rsid w:val="001659E6"/>
    <w:rsid w:val="0016603B"/>
    <w:rsid w:val="0016604A"/>
    <w:rsid w:val="00166A9B"/>
    <w:rsid w:val="00167E9F"/>
    <w:rsid w:val="00170EF1"/>
    <w:rsid w:val="0017172F"/>
    <w:rsid w:val="001759D4"/>
    <w:rsid w:val="001762B1"/>
    <w:rsid w:val="00177F1B"/>
    <w:rsid w:val="00181330"/>
    <w:rsid w:val="00182F39"/>
    <w:rsid w:val="001852E9"/>
    <w:rsid w:val="00185B33"/>
    <w:rsid w:val="00186505"/>
    <w:rsid w:val="00190109"/>
    <w:rsid w:val="00193A41"/>
    <w:rsid w:val="00194F8E"/>
    <w:rsid w:val="0019564E"/>
    <w:rsid w:val="001A053E"/>
    <w:rsid w:val="001A07DE"/>
    <w:rsid w:val="001A1B08"/>
    <w:rsid w:val="001A2B7D"/>
    <w:rsid w:val="001A3BFD"/>
    <w:rsid w:val="001A4269"/>
    <w:rsid w:val="001A5723"/>
    <w:rsid w:val="001A7B61"/>
    <w:rsid w:val="001B1D24"/>
    <w:rsid w:val="001B1E2E"/>
    <w:rsid w:val="001B214F"/>
    <w:rsid w:val="001B2F63"/>
    <w:rsid w:val="001B3FCF"/>
    <w:rsid w:val="001B61F6"/>
    <w:rsid w:val="001C0597"/>
    <w:rsid w:val="001C104E"/>
    <w:rsid w:val="001C1B1F"/>
    <w:rsid w:val="001C4DCD"/>
    <w:rsid w:val="001C7E72"/>
    <w:rsid w:val="001D3991"/>
    <w:rsid w:val="001D516A"/>
    <w:rsid w:val="001D5C98"/>
    <w:rsid w:val="001D63CE"/>
    <w:rsid w:val="001D6448"/>
    <w:rsid w:val="001D6A3E"/>
    <w:rsid w:val="001D742D"/>
    <w:rsid w:val="001D7C78"/>
    <w:rsid w:val="001E0CAE"/>
    <w:rsid w:val="001E0DA2"/>
    <w:rsid w:val="001E12AF"/>
    <w:rsid w:val="001E3E1B"/>
    <w:rsid w:val="001E66D5"/>
    <w:rsid w:val="001F224B"/>
    <w:rsid w:val="001F3AE3"/>
    <w:rsid w:val="001F42F3"/>
    <w:rsid w:val="001F5F47"/>
    <w:rsid w:val="001F72B3"/>
    <w:rsid w:val="00200495"/>
    <w:rsid w:val="00200AB1"/>
    <w:rsid w:val="00203604"/>
    <w:rsid w:val="002059EC"/>
    <w:rsid w:val="00207648"/>
    <w:rsid w:val="00207674"/>
    <w:rsid w:val="00207C9C"/>
    <w:rsid w:val="002114E0"/>
    <w:rsid w:val="002116FD"/>
    <w:rsid w:val="002117E8"/>
    <w:rsid w:val="002158E9"/>
    <w:rsid w:val="00216362"/>
    <w:rsid w:val="002165CF"/>
    <w:rsid w:val="00216D05"/>
    <w:rsid w:val="00216FC3"/>
    <w:rsid w:val="002229F2"/>
    <w:rsid w:val="002235E8"/>
    <w:rsid w:val="00225D76"/>
    <w:rsid w:val="00225DF6"/>
    <w:rsid w:val="00225E4A"/>
    <w:rsid w:val="0023012A"/>
    <w:rsid w:val="0023052E"/>
    <w:rsid w:val="00231929"/>
    <w:rsid w:val="00232EF7"/>
    <w:rsid w:val="00233509"/>
    <w:rsid w:val="00234049"/>
    <w:rsid w:val="00235957"/>
    <w:rsid w:val="002362B8"/>
    <w:rsid w:val="00236750"/>
    <w:rsid w:val="00237CB2"/>
    <w:rsid w:val="00237F61"/>
    <w:rsid w:val="00246343"/>
    <w:rsid w:val="00247135"/>
    <w:rsid w:val="00247A3F"/>
    <w:rsid w:val="00255778"/>
    <w:rsid w:val="0025588B"/>
    <w:rsid w:val="0026228F"/>
    <w:rsid w:val="00263F32"/>
    <w:rsid w:val="00264958"/>
    <w:rsid w:val="00266C26"/>
    <w:rsid w:val="00274E69"/>
    <w:rsid w:val="00277BF4"/>
    <w:rsid w:val="002801AD"/>
    <w:rsid w:val="002810DC"/>
    <w:rsid w:val="00281931"/>
    <w:rsid w:val="002848ED"/>
    <w:rsid w:val="0029011A"/>
    <w:rsid w:val="002908A0"/>
    <w:rsid w:val="00290DAE"/>
    <w:rsid w:val="00291D24"/>
    <w:rsid w:val="0029274A"/>
    <w:rsid w:val="00293B8D"/>
    <w:rsid w:val="00294C40"/>
    <w:rsid w:val="002953CE"/>
    <w:rsid w:val="002A4365"/>
    <w:rsid w:val="002A4C16"/>
    <w:rsid w:val="002A6D42"/>
    <w:rsid w:val="002A737D"/>
    <w:rsid w:val="002B2CD7"/>
    <w:rsid w:val="002B33F4"/>
    <w:rsid w:val="002B347F"/>
    <w:rsid w:val="002B35E7"/>
    <w:rsid w:val="002B4A6A"/>
    <w:rsid w:val="002C14E4"/>
    <w:rsid w:val="002C1A1F"/>
    <w:rsid w:val="002C1CBD"/>
    <w:rsid w:val="002C2EDF"/>
    <w:rsid w:val="002C36CB"/>
    <w:rsid w:val="002C3782"/>
    <w:rsid w:val="002C5440"/>
    <w:rsid w:val="002C75CD"/>
    <w:rsid w:val="002C7FC1"/>
    <w:rsid w:val="002D3856"/>
    <w:rsid w:val="002D4183"/>
    <w:rsid w:val="002D4373"/>
    <w:rsid w:val="002D4A3B"/>
    <w:rsid w:val="002D4E39"/>
    <w:rsid w:val="002E0812"/>
    <w:rsid w:val="002E0B75"/>
    <w:rsid w:val="002E206B"/>
    <w:rsid w:val="002E2AD6"/>
    <w:rsid w:val="002E485D"/>
    <w:rsid w:val="002E6B3D"/>
    <w:rsid w:val="002E6F68"/>
    <w:rsid w:val="002F07B3"/>
    <w:rsid w:val="002F0F03"/>
    <w:rsid w:val="002F11F5"/>
    <w:rsid w:val="002F568E"/>
    <w:rsid w:val="002F6942"/>
    <w:rsid w:val="00303B2C"/>
    <w:rsid w:val="0031015A"/>
    <w:rsid w:val="00312DF9"/>
    <w:rsid w:val="00316FC0"/>
    <w:rsid w:val="0031704F"/>
    <w:rsid w:val="003202FA"/>
    <w:rsid w:val="00321C8F"/>
    <w:rsid w:val="00321FFD"/>
    <w:rsid w:val="003223AE"/>
    <w:rsid w:val="00323EB9"/>
    <w:rsid w:val="00326853"/>
    <w:rsid w:val="00327F8F"/>
    <w:rsid w:val="00330636"/>
    <w:rsid w:val="00330678"/>
    <w:rsid w:val="00332287"/>
    <w:rsid w:val="00334800"/>
    <w:rsid w:val="003354F1"/>
    <w:rsid w:val="00337784"/>
    <w:rsid w:val="00343950"/>
    <w:rsid w:val="0034768E"/>
    <w:rsid w:val="003515C6"/>
    <w:rsid w:val="00357405"/>
    <w:rsid w:val="003666F6"/>
    <w:rsid w:val="00367D53"/>
    <w:rsid w:val="00370C32"/>
    <w:rsid w:val="0037251C"/>
    <w:rsid w:val="00375419"/>
    <w:rsid w:val="00375807"/>
    <w:rsid w:val="00382AB6"/>
    <w:rsid w:val="0038424C"/>
    <w:rsid w:val="003861C9"/>
    <w:rsid w:val="00386B38"/>
    <w:rsid w:val="00386FF6"/>
    <w:rsid w:val="00390126"/>
    <w:rsid w:val="003936B0"/>
    <w:rsid w:val="00394BB9"/>
    <w:rsid w:val="0039659C"/>
    <w:rsid w:val="003969C9"/>
    <w:rsid w:val="003A21C1"/>
    <w:rsid w:val="003A2EEF"/>
    <w:rsid w:val="003A7335"/>
    <w:rsid w:val="003A749C"/>
    <w:rsid w:val="003B1071"/>
    <w:rsid w:val="003B10A4"/>
    <w:rsid w:val="003B21A6"/>
    <w:rsid w:val="003B33C3"/>
    <w:rsid w:val="003B5362"/>
    <w:rsid w:val="003B57BF"/>
    <w:rsid w:val="003B64E8"/>
    <w:rsid w:val="003B6921"/>
    <w:rsid w:val="003B6927"/>
    <w:rsid w:val="003C013F"/>
    <w:rsid w:val="003C168E"/>
    <w:rsid w:val="003C1FF6"/>
    <w:rsid w:val="003C56BD"/>
    <w:rsid w:val="003C66E9"/>
    <w:rsid w:val="003D0A6B"/>
    <w:rsid w:val="003D26E3"/>
    <w:rsid w:val="003D50EE"/>
    <w:rsid w:val="003D62DF"/>
    <w:rsid w:val="003D63C5"/>
    <w:rsid w:val="003D66E5"/>
    <w:rsid w:val="003D68E9"/>
    <w:rsid w:val="003D7CE7"/>
    <w:rsid w:val="003D7F33"/>
    <w:rsid w:val="003F3C4B"/>
    <w:rsid w:val="003F3EC2"/>
    <w:rsid w:val="003F597D"/>
    <w:rsid w:val="003F6100"/>
    <w:rsid w:val="0040284A"/>
    <w:rsid w:val="00402D47"/>
    <w:rsid w:val="004035A0"/>
    <w:rsid w:val="00404AEE"/>
    <w:rsid w:val="00405C86"/>
    <w:rsid w:val="00407AAB"/>
    <w:rsid w:val="00407E04"/>
    <w:rsid w:val="0041238D"/>
    <w:rsid w:val="00413D8D"/>
    <w:rsid w:val="004143B9"/>
    <w:rsid w:val="00414F18"/>
    <w:rsid w:val="00431285"/>
    <w:rsid w:val="0043450B"/>
    <w:rsid w:val="00435D15"/>
    <w:rsid w:val="00441183"/>
    <w:rsid w:val="00442460"/>
    <w:rsid w:val="0044492B"/>
    <w:rsid w:val="00444F14"/>
    <w:rsid w:val="00446A3C"/>
    <w:rsid w:val="00447974"/>
    <w:rsid w:val="004508F7"/>
    <w:rsid w:val="004543BC"/>
    <w:rsid w:val="0045653F"/>
    <w:rsid w:val="00463FB8"/>
    <w:rsid w:val="004644F4"/>
    <w:rsid w:val="00465425"/>
    <w:rsid w:val="00467812"/>
    <w:rsid w:val="0047058D"/>
    <w:rsid w:val="0047657D"/>
    <w:rsid w:val="004766C9"/>
    <w:rsid w:val="00480A2E"/>
    <w:rsid w:val="00484DC2"/>
    <w:rsid w:val="0049019D"/>
    <w:rsid w:val="00493C73"/>
    <w:rsid w:val="004A07BF"/>
    <w:rsid w:val="004A2C2B"/>
    <w:rsid w:val="004A4CA0"/>
    <w:rsid w:val="004A5DF3"/>
    <w:rsid w:val="004A7A54"/>
    <w:rsid w:val="004B5196"/>
    <w:rsid w:val="004C3E1F"/>
    <w:rsid w:val="004C6CB7"/>
    <w:rsid w:val="004C705A"/>
    <w:rsid w:val="004C7C1D"/>
    <w:rsid w:val="004D2B04"/>
    <w:rsid w:val="004D3E2F"/>
    <w:rsid w:val="004D4F15"/>
    <w:rsid w:val="004D55DD"/>
    <w:rsid w:val="004E404B"/>
    <w:rsid w:val="004E53A8"/>
    <w:rsid w:val="004F06A2"/>
    <w:rsid w:val="004F24F3"/>
    <w:rsid w:val="004F67BD"/>
    <w:rsid w:val="004F6E14"/>
    <w:rsid w:val="004F7A04"/>
    <w:rsid w:val="005018C7"/>
    <w:rsid w:val="0050258B"/>
    <w:rsid w:val="00505B48"/>
    <w:rsid w:val="00510A96"/>
    <w:rsid w:val="0051222F"/>
    <w:rsid w:val="005141C0"/>
    <w:rsid w:val="005153B9"/>
    <w:rsid w:val="00516AEB"/>
    <w:rsid w:val="00520BA9"/>
    <w:rsid w:val="00522D79"/>
    <w:rsid w:val="005230D5"/>
    <w:rsid w:val="00523EC2"/>
    <w:rsid w:val="00525B52"/>
    <w:rsid w:val="00530635"/>
    <w:rsid w:val="00530871"/>
    <w:rsid w:val="005363CE"/>
    <w:rsid w:val="0053718C"/>
    <w:rsid w:val="005373B4"/>
    <w:rsid w:val="00537844"/>
    <w:rsid w:val="005379E8"/>
    <w:rsid w:val="0054411D"/>
    <w:rsid w:val="00544244"/>
    <w:rsid w:val="00544F03"/>
    <w:rsid w:val="00547F69"/>
    <w:rsid w:val="005523A3"/>
    <w:rsid w:val="00554EA4"/>
    <w:rsid w:val="00555368"/>
    <w:rsid w:val="00556CC8"/>
    <w:rsid w:val="005577AD"/>
    <w:rsid w:val="00557F64"/>
    <w:rsid w:val="00564349"/>
    <w:rsid w:val="00566115"/>
    <w:rsid w:val="00566A03"/>
    <w:rsid w:val="00566F9C"/>
    <w:rsid w:val="0056721A"/>
    <w:rsid w:val="005706BB"/>
    <w:rsid w:val="00571A76"/>
    <w:rsid w:val="00571C55"/>
    <w:rsid w:val="005723B5"/>
    <w:rsid w:val="005733F1"/>
    <w:rsid w:val="00574116"/>
    <w:rsid w:val="00575522"/>
    <w:rsid w:val="005764C2"/>
    <w:rsid w:val="00584490"/>
    <w:rsid w:val="00585384"/>
    <w:rsid w:val="0058652E"/>
    <w:rsid w:val="00587A87"/>
    <w:rsid w:val="00587DFA"/>
    <w:rsid w:val="00591304"/>
    <w:rsid w:val="00591366"/>
    <w:rsid w:val="0059258D"/>
    <w:rsid w:val="0059265D"/>
    <w:rsid w:val="005931CD"/>
    <w:rsid w:val="00593848"/>
    <w:rsid w:val="00593EC1"/>
    <w:rsid w:val="005953D2"/>
    <w:rsid w:val="00595462"/>
    <w:rsid w:val="005956DA"/>
    <w:rsid w:val="005975AC"/>
    <w:rsid w:val="00597750"/>
    <w:rsid w:val="00597803"/>
    <w:rsid w:val="00597836"/>
    <w:rsid w:val="005A3A46"/>
    <w:rsid w:val="005A542A"/>
    <w:rsid w:val="005A5EBB"/>
    <w:rsid w:val="005A62EA"/>
    <w:rsid w:val="005B75F0"/>
    <w:rsid w:val="005C38A2"/>
    <w:rsid w:val="005C6FD5"/>
    <w:rsid w:val="005D0C24"/>
    <w:rsid w:val="005D1C60"/>
    <w:rsid w:val="005D2BD0"/>
    <w:rsid w:val="005D6712"/>
    <w:rsid w:val="005D6F3D"/>
    <w:rsid w:val="005E06B5"/>
    <w:rsid w:val="005E2CC5"/>
    <w:rsid w:val="005E4C67"/>
    <w:rsid w:val="005E6AB6"/>
    <w:rsid w:val="005F5EFC"/>
    <w:rsid w:val="005F6A6E"/>
    <w:rsid w:val="00606E8A"/>
    <w:rsid w:val="006071B0"/>
    <w:rsid w:val="00607790"/>
    <w:rsid w:val="006100FC"/>
    <w:rsid w:val="0061158B"/>
    <w:rsid w:val="00612FA9"/>
    <w:rsid w:val="00613B85"/>
    <w:rsid w:val="00614A4C"/>
    <w:rsid w:val="006203B3"/>
    <w:rsid w:val="00625721"/>
    <w:rsid w:val="00625B26"/>
    <w:rsid w:val="00627411"/>
    <w:rsid w:val="00634BD7"/>
    <w:rsid w:val="006369FB"/>
    <w:rsid w:val="00640D42"/>
    <w:rsid w:val="006411D8"/>
    <w:rsid w:val="00643C2E"/>
    <w:rsid w:val="0064793C"/>
    <w:rsid w:val="00647F77"/>
    <w:rsid w:val="00654859"/>
    <w:rsid w:val="006575D2"/>
    <w:rsid w:val="006609A7"/>
    <w:rsid w:val="0066662E"/>
    <w:rsid w:val="00666E90"/>
    <w:rsid w:val="00667285"/>
    <w:rsid w:val="0066792D"/>
    <w:rsid w:val="0067043E"/>
    <w:rsid w:val="00670ADB"/>
    <w:rsid w:val="00671221"/>
    <w:rsid w:val="0067125A"/>
    <w:rsid w:val="006725BB"/>
    <w:rsid w:val="00676D63"/>
    <w:rsid w:val="0068151A"/>
    <w:rsid w:val="00681D31"/>
    <w:rsid w:val="00681E5F"/>
    <w:rsid w:val="00682B23"/>
    <w:rsid w:val="00683CF9"/>
    <w:rsid w:val="00684DF6"/>
    <w:rsid w:val="0069130D"/>
    <w:rsid w:val="006914AE"/>
    <w:rsid w:val="00693AA3"/>
    <w:rsid w:val="00694239"/>
    <w:rsid w:val="00697129"/>
    <w:rsid w:val="0069733F"/>
    <w:rsid w:val="006A1C7A"/>
    <w:rsid w:val="006A5AB2"/>
    <w:rsid w:val="006A6D91"/>
    <w:rsid w:val="006A721D"/>
    <w:rsid w:val="006B1AE1"/>
    <w:rsid w:val="006B1F06"/>
    <w:rsid w:val="006B4FDA"/>
    <w:rsid w:val="006C0265"/>
    <w:rsid w:val="006C210C"/>
    <w:rsid w:val="006C44BD"/>
    <w:rsid w:val="006C572C"/>
    <w:rsid w:val="006C5970"/>
    <w:rsid w:val="006C5B99"/>
    <w:rsid w:val="006C674B"/>
    <w:rsid w:val="006D1544"/>
    <w:rsid w:val="006D2483"/>
    <w:rsid w:val="006D6101"/>
    <w:rsid w:val="006E60A7"/>
    <w:rsid w:val="006E7301"/>
    <w:rsid w:val="006F11B0"/>
    <w:rsid w:val="006F1433"/>
    <w:rsid w:val="006F34A8"/>
    <w:rsid w:val="006F6146"/>
    <w:rsid w:val="00700E5C"/>
    <w:rsid w:val="00702B19"/>
    <w:rsid w:val="00702F95"/>
    <w:rsid w:val="00705768"/>
    <w:rsid w:val="0070708D"/>
    <w:rsid w:val="00710175"/>
    <w:rsid w:val="00714E26"/>
    <w:rsid w:val="00716EA9"/>
    <w:rsid w:val="00717669"/>
    <w:rsid w:val="00717A88"/>
    <w:rsid w:val="00725BD7"/>
    <w:rsid w:val="0072687B"/>
    <w:rsid w:val="00727A78"/>
    <w:rsid w:val="00732D97"/>
    <w:rsid w:val="007341C2"/>
    <w:rsid w:val="007351DC"/>
    <w:rsid w:val="00736708"/>
    <w:rsid w:val="0073692C"/>
    <w:rsid w:val="00736B39"/>
    <w:rsid w:val="00740946"/>
    <w:rsid w:val="007414C7"/>
    <w:rsid w:val="007421FC"/>
    <w:rsid w:val="0074272F"/>
    <w:rsid w:val="00742B8C"/>
    <w:rsid w:val="0074498A"/>
    <w:rsid w:val="00744FDE"/>
    <w:rsid w:val="0074684F"/>
    <w:rsid w:val="007504E9"/>
    <w:rsid w:val="00750E51"/>
    <w:rsid w:val="007538D1"/>
    <w:rsid w:val="007563C6"/>
    <w:rsid w:val="00756543"/>
    <w:rsid w:val="00756790"/>
    <w:rsid w:val="00760B3B"/>
    <w:rsid w:val="00762724"/>
    <w:rsid w:val="00762CA6"/>
    <w:rsid w:val="007636AD"/>
    <w:rsid w:val="00763A98"/>
    <w:rsid w:val="0076791A"/>
    <w:rsid w:val="00773407"/>
    <w:rsid w:val="00774572"/>
    <w:rsid w:val="00782CEE"/>
    <w:rsid w:val="0078310D"/>
    <w:rsid w:val="00783F66"/>
    <w:rsid w:val="00785166"/>
    <w:rsid w:val="007856BF"/>
    <w:rsid w:val="00785E94"/>
    <w:rsid w:val="0078650D"/>
    <w:rsid w:val="00787243"/>
    <w:rsid w:val="00792736"/>
    <w:rsid w:val="00792EB4"/>
    <w:rsid w:val="00793DB4"/>
    <w:rsid w:val="00794751"/>
    <w:rsid w:val="007A0C86"/>
    <w:rsid w:val="007A2790"/>
    <w:rsid w:val="007A5ED1"/>
    <w:rsid w:val="007B0A35"/>
    <w:rsid w:val="007B2AFB"/>
    <w:rsid w:val="007B3777"/>
    <w:rsid w:val="007B59B8"/>
    <w:rsid w:val="007C11B1"/>
    <w:rsid w:val="007C3B98"/>
    <w:rsid w:val="007C4E00"/>
    <w:rsid w:val="007C6848"/>
    <w:rsid w:val="007C71D9"/>
    <w:rsid w:val="007D08EE"/>
    <w:rsid w:val="007D1BE9"/>
    <w:rsid w:val="007D264C"/>
    <w:rsid w:val="007D2F3D"/>
    <w:rsid w:val="007E040F"/>
    <w:rsid w:val="007E14CE"/>
    <w:rsid w:val="007E27CE"/>
    <w:rsid w:val="007E350D"/>
    <w:rsid w:val="007E6510"/>
    <w:rsid w:val="007E776B"/>
    <w:rsid w:val="007F145C"/>
    <w:rsid w:val="007F1C36"/>
    <w:rsid w:val="007F301A"/>
    <w:rsid w:val="007F4C41"/>
    <w:rsid w:val="007F6A28"/>
    <w:rsid w:val="00801504"/>
    <w:rsid w:val="00804120"/>
    <w:rsid w:val="00806103"/>
    <w:rsid w:val="00806303"/>
    <w:rsid w:val="00812ACC"/>
    <w:rsid w:val="008150B4"/>
    <w:rsid w:val="0081519A"/>
    <w:rsid w:val="00817F3B"/>
    <w:rsid w:val="00820391"/>
    <w:rsid w:val="0082264F"/>
    <w:rsid w:val="008235C4"/>
    <w:rsid w:val="008261C1"/>
    <w:rsid w:val="008275DB"/>
    <w:rsid w:val="0083004F"/>
    <w:rsid w:val="00831AF8"/>
    <w:rsid w:val="00832914"/>
    <w:rsid w:val="0083450C"/>
    <w:rsid w:val="00836097"/>
    <w:rsid w:val="008366FE"/>
    <w:rsid w:val="00836A4D"/>
    <w:rsid w:val="00836EE7"/>
    <w:rsid w:val="008402A0"/>
    <w:rsid w:val="00840EB1"/>
    <w:rsid w:val="008427F6"/>
    <w:rsid w:val="00842840"/>
    <w:rsid w:val="00844EBD"/>
    <w:rsid w:val="00845115"/>
    <w:rsid w:val="00845847"/>
    <w:rsid w:val="008475CB"/>
    <w:rsid w:val="008550D6"/>
    <w:rsid w:val="008624D7"/>
    <w:rsid w:val="00863450"/>
    <w:rsid w:val="00863849"/>
    <w:rsid w:val="00870126"/>
    <w:rsid w:val="00870C67"/>
    <w:rsid w:val="00871E26"/>
    <w:rsid w:val="008720BF"/>
    <w:rsid w:val="00872150"/>
    <w:rsid w:val="008757CA"/>
    <w:rsid w:val="00877D10"/>
    <w:rsid w:val="00880191"/>
    <w:rsid w:val="008804A0"/>
    <w:rsid w:val="00880B19"/>
    <w:rsid w:val="008822FF"/>
    <w:rsid w:val="00884360"/>
    <w:rsid w:val="00885EFB"/>
    <w:rsid w:val="0089164D"/>
    <w:rsid w:val="008928F5"/>
    <w:rsid w:val="00894DF4"/>
    <w:rsid w:val="00895A8A"/>
    <w:rsid w:val="00897F33"/>
    <w:rsid w:val="008A01A2"/>
    <w:rsid w:val="008A049F"/>
    <w:rsid w:val="008A09E1"/>
    <w:rsid w:val="008A1197"/>
    <w:rsid w:val="008A2263"/>
    <w:rsid w:val="008A272E"/>
    <w:rsid w:val="008A28F3"/>
    <w:rsid w:val="008A3424"/>
    <w:rsid w:val="008A4200"/>
    <w:rsid w:val="008A6752"/>
    <w:rsid w:val="008A6BF8"/>
    <w:rsid w:val="008A6D25"/>
    <w:rsid w:val="008B02D0"/>
    <w:rsid w:val="008B0E43"/>
    <w:rsid w:val="008B23B0"/>
    <w:rsid w:val="008B5AEE"/>
    <w:rsid w:val="008B6A7A"/>
    <w:rsid w:val="008C0AE6"/>
    <w:rsid w:val="008C2630"/>
    <w:rsid w:val="008C383F"/>
    <w:rsid w:val="008C41E1"/>
    <w:rsid w:val="008C5464"/>
    <w:rsid w:val="008C6264"/>
    <w:rsid w:val="008D2DE1"/>
    <w:rsid w:val="008D3ACA"/>
    <w:rsid w:val="008D3E58"/>
    <w:rsid w:val="008D4E23"/>
    <w:rsid w:val="008D4E7F"/>
    <w:rsid w:val="008D732B"/>
    <w:rsid w:val="008F2355"/>
    <w:rsid w:val="008F257E"/>
    <w:rsid w:val="008F27E3"/>
    <w:rsid w:val="008F29F6"/>
    <w:rsid w:val="008F3795"/>
    <w:rsid w:val="008F3908"/>
    <w:rsid w:val="008F3BAE"/>
    <w:rsid w:val="0090102D"/>
    <w:rsid w:val="009016D8"/>
    <w:rsid w:val="009021AB"/>
    <w:rsid w:val="00903105"/>
    <w:rsid w:val="00904C18"/>
    <w:rsid w:val="00905B1B"/>
    <w:rsid w:val="009113FB"/>
    <w:rsid w:val="00915084"/>
    <w:rsid w:val="00921858"/>
    <w:rsid w:val="00922F55"/>
    <w:rsid w:val="00924DB1"/>
    <w:rsid w:val="00926921"/>
    <w:rsid w:val="009279DC"/>
    <w:rsid w:val="00930A90"/>
    <w:rsid w:val="00931F12"/>
    <w:rsid w:val="009378B1"/>
    <w:rsid w:val="00937B47"/>
    <w:rsid w:val="00937B83"/>
    <w:rsid w:val="00940EFE"/>
    <w:rsid w:val="009421F9"/>
    <w:rsid w:val="00942283"/>
    <w:rsid w:val="00945455"/>
    <w:rsid w:val="009469C1"/>
    <w:rsid w:val="009474DF"/>
    <w:rsid w:val="00950E23"/>
    <w:rsid w:val="00953185"/>
    <w:rsid w:val="0095422C"/>
    <w:rsid w:val="00955DC4"/>
    <w:rsid w:val="009564C6"/>
    <w:rsid w:val="009568DB"/>
    <w:rsid w:val="00957B8F"/>
    <w:rsid w:val="00961FFB"/>
    <w:rsid w:val="00964733"/>
    <w:rsid w:val="00970C5A"/>
    <w:rsid w:val="0097696C"/>
    <w:rsid w:val="00977CA4"/>
    <w:rsid w:val="009802F9"/>
    <w:rsid w:val="0098250E"/>
    <w:rsid w:val="00983D7C"/>
    <w:rsid w:val="00984EB9"/>
    <w:rsid w:val="009864D3"/>
    <w:rsid w:val="00986541"/>
    <w:rsid w:val="009915F3"/>
    <w:rsid w:val="009916B9"/>
    <w:rsid w:val="00993A6D"/>
    <w:rsid w:val="009944DB"/>
    <w:rsid w:val="009948A1"/>
    <w:rsid w:val="00995416"/>
    <w:rsid w:val="009A3951"/>
    <w:rsid w:val="009A77DF"/>
    <w:rsid w:val="009B130E"/>
    <w:rsid w:val="009B24B7"/>
    <w:rsid w:val="009B2B43"/>
    <w:rsid w:val="009B443C"/>
    <w:rsid w:val="009B4E24"/>
    <w:rsid w:val="009B512C"/>
    <w:rsid w:val="009C10A5"/>
    <w:rsid w:val="009C2D75"/>
    <w:rsid w:val="009C511E"/>
    <w:rsid w:val="009C5BF7"/>
    <w:rsid w:val="009C6E02"/>
    <w:rsid w:val="009D3583"/>
    <w:rsid w:val="009D3C96"/>
    <w:rsid w:val="009D5512"/>
    <w:rsid w:val="009D68E3"/>
    <w:rsid w:val="009E332F"/>
    <w:rsid w:val="009E5A61"/>
    <w:rsid w:val="009E6A39"/>
    <w:rsid w:val="009E77BD"/>
    <w:rsid w:val="009E7E87"/>
    <w:rsid w:val="009F0C0C"/>
    <w:rsid w:val="009F13F2"/>
    <w:rsid w:val="009F6783"/>
    <w:rsid w:val="00A03EB9"/>
    <w:rsid w:val="00A1307B"/>
    <w:rsid w:val="00A15353"/>
    <w:rsid w:val="00A164B8"/>
    <w:rsid w:val="00A166AE"/>
    <w:rsid w:val="00A20AF0"/>
    <w:rsid w:val="00A25605"/>
    <w:rsid w:val="00A26904"/>
    <w:rsid w:val="00A30F10"/>
    <w:rsid w:val="00A3198D"/>
    <w:rsid w:val="00A319FF"/>
    <w:rsid w:val="00A33959"/>
    <w:rsid w:val="00A437D5"/>
    <w:rsid w:val="00A4480B"/>
    <w:rsid w:val="00A44EF2"/>
    <w:rsid w:val="00A50352"/>
    <w:rsid w:val="00A509A6"/>
    <w:rsid w:val="00A512B0"/>
    <w:rsid w:val="00A5141C"/>
    <w:rsid w:val="00A54253"/>
    <w:rsid w:val="00A573C7"/>
    <w:rsid w:val="00A618F5"/>
    <w:rsid w:val="00A61FB9"/>
    <w:rsid w:val="00A628DD"/>
    <w:rsid w:val="00A63CAC"/>
    <w:rsid w:val="00A6427B"/>
    <w:rsid w:val="00A6557B"/>
    <w:rsid w:val="00A67D76"/>
    <w:rsid w:val="00A72560"/>
    <w:rsid w:val="00A74BA3"/>
    <w:rsid w:val="00A759C9"/>
    <w:rsid w:val="00A764D6"/>
    <w:rsid w:val="00A76912"/>
    <w:rsid w:val="00A77B99"/>
    <w:rsid w:val="00A77CE2"/>
    <w:rsid w:val="00A83475"/>
    <w:rsid w:val="00A8474B"/>
    <w:rsid w:val="00A869C0"/>
    <w:rsid w:val="00A87A3E"/>
    <w:rsid w:val="00A9047E"/>
    <w:rsid w:val="00A91A61"/>
    <w:rsid w:val="00A933B2"/>
    <w:rsid w:val="00A93BAF"/>
    <w:rsid w:val="00A955EC"/>
    <w:rsid w:val="00A96659"/>
    <w:rsid w:val="00A96BAD"/>
    <w:rsid w:val="00AA205E"/>
    <w:rsid w:val="00AA255A"/>
    <w:rsid w:val="00AA27E6"/>
    <w:rsid w:val="00AA2B63"/>
    <w:rsid w:val="00AA36F8"/>
    <w:rsid w:val="00AA6984"/>
    <w:rsid w:val="00AA719A"/>
    <w:rsid w:val="00AB2577"/>
    <w:rsid w:val="00AB6324"/>
    <w:rsid w:val="00AB675F"/>
    <w:rsid w:val="00AB7CD6"/>
    <w:rsid w:val="00AC0A26"/>
    <w:rsid w:val="00AC0B52"/>
    <w:rsid w:val="00AC229A"/>
    <w:rsid w:val="00AC304F"/>
    <w:rsid w:val="00AC34AF"/>
    <w:rsid w:val="00AC417B"/>
    <w:rsid w:val="00AC4D66"/>
    <w:rsid w:val="00AC5F2B"/>
    <w:rsid w:val="00AC6A2D"/>
    <w:rsid w:val="00AC75B0"/>
    <w:rsid w:val="00AC7D26"/>
    <w:rsid w:val="00AD3F17"/>
    <w:rsid w:val="00AD40AC"/>
    <w:rsid w:val="00AD4DCD"/>
    <w:rsid w:val="00AD5B84"/>
    <w:rsid w:val="00AD6FBB"/>
    <w:rsid w:val="00AD7CCE"/>
    <w:rsid w:val="00AD7F27"/>
    <w:rsid w:val="00AE1A29"/>
    <w:rsid w:val="00AE432B"/>
    <w:rsid w:val="00AE48D2"/>
    <w:rsid w:val="00AE6589"/>
    <w:rsid w:val="00AE668F"/>
    <w:rsid w:val="00AE6791"/>
    <w:rsid w:val="00AE7AB3"/>
    <w:rsid w:val="00AF3644"/>
    <w:rsid w:val="00AF4411"/>
    <w:rsid w:val="00AF450C"/>
    <w:rsid w:val="00AF631E"/>
    <w:rsid w:val="00AF65D2"/>
    <w:rsid w:val="00B00124"/>
    <w:rsid w:val="00B0120A"/>
    <w:rsid w:val="00B01B8C"/>
    <w:rsid w:val="00B023A2"/>
    <w:rsid w:val="00B04618"/>
    <w:rsid w:val="00B05E9C"/>
    <w:rsid w:val="00B113A8"/>
    <w:rsid w:val="00B118FA"/>
    <w:rsid w:val="00B1668A"/>
    <w:rsid w:val="00B17908"/>
    <w:rsid w:val="00B20B6E"/>
    <w:rsid w:val="00B23B62"/>
    <w:rsid w:val="00B24A93"/>
    <w:rsid w:val="00B26096"/>
    <w:rsid w:val="00B26E04"/>
    <w:rsid w:val="00B26E84"/>
    <w:rsid w:val="00B302F1"/>
    <w:rsid w:val="00B315F6"/>
    <w:rsid w:val="00B3411E"/>
    <w:rsid w:val="00B36250"/>
    <w:rsid w:val="00B363DE"/>
    <w:rsid w:val="00B36F86"/>
    <w:rsid w:val="00B41E75"/>
    <w:rsid w:val="00B44AC2"/>
    <w:rsid w:val="00B4502E"/>
    <w:rsid w:val="00B4533C"/>
    <w:rsid w:val="00B46E4F"/>
    <w:rsid w:val="00B47DEE"/>
    <w:rsid w:val="00B50149"/>
    <w:rsid w:val="00B51ACA"/>
    <w:rsid w:val="00B52C26"/>
    <w:rsid w:val="00B53A44"/>
    <w:rsid w:val="00B56245"/>
    <w:rsid w:val="00B56E61"/>
    <w:rsid w:val="00B57D71"/>
    <w:rsid w:val="00B6071D"/>
    <w:rsid w:val="00B61A65"/>
    <w:rsid w:val="00B61D4C"/>
    <w:rsid w:val="00B638A1"/>
    <w:rsid w:val="00B74E78"/>
    <w:rsid w:val="00B760FA"/>
    <w:rsid w:val="00B766BA"/>
    <w:rsid w:val="00B76A98"/>
    <w:rsid w:val="00B76C3F"/>
    <w:rsid w:val="00B778DF"/>
    <w:rsid w:val="00B77B07"/>
    <w:rsid w:val="00B878F1"/>
    <w:rsid w:val="00B903EF"/>
    <w:rsid w:val="00B9423F"/>
    <w:rsid w:val="00B95418"/>
    <w:rsid w:val="00B95971"/>
    <w:rsid w:val="00B959CF"/>
    <w:rsid w:val="00B96EAE"/>
    <w:rsid w:val="00B96F0F"/>
    <w:rsid w:val="00B9722C"/>
    <w:rsid w:val="00B9762E"/>
    <w:rsid w:val="00BA0670"/>
    <w:rsid w:val="00BA21AA"/>
    <w:rsid w:val="00BA2D10"/>
    <w:rsid w:val="00BA4357"/>
    <w:rsid w:val="00BA62F9"/>
    <w:rsid w:val="00BA7BA4"/>
    <w:rsid w:val="00BB57F4"/>
    <w:rsid w:val="00BB7B5F"/>
    <w:rsid w:val="00BB7EBA"/>
    <w:rsid w:val="00BC25A0"/>
    <w:rsid w:val="00BC2771"/>
    <w:rsid w:val="00BC2DEF"/>
    <w:rsid w:val="00BC300A"/>
    <w:rsid w:val="00BC596E"/>
    <w:rsid w:val="00BD1806"/>
    <w:rsid w:val="00BD3F35"/>
    <w:rsid w:val="00BD5D01"/>
    <w:rsid w:val="00BD7DA1"/>
    <w:rsid w:val="00BE07C2"/>
    <w:rsid w:val="00BE283F"/>
    <w:rsid w:val="00BE29B3"/>
    <w:rsid w:val="00BE3885"/>
    <w:rsid w:val="00BE5D5F"/>
    <w:rsid w:val="00BE5DFC"/>
    <w:rsid w:val="00BE5F92"/>
    <w:rsid w:val="00BE60DD"/>
    <w:rsid w:val="00BF348E"/>
    <w:rsid w:val="00BF3764"/>
    <w:rsid w:val="00BF65A3"/>
    <w:rsid w:val="00C012E9"/>
    <w:rsid w:val="00C0342D"/>
    <w:rsid w:val="00C046BD"/>
    <w:rsid w:val="00C10CCC"/>
    <w:rsid w:val="00C12A7C"/>
    <w:rsid w:val="00C13B59"/>
    <w:rsid w:val="00C157B3"/>
    <w:rsid w:val="00C16277"/>
    <w:rsid w:val="00C23D07"/>
    <w:rsid w:val="00C25A16"/>
    <w:rsid w:val="00C326DC"/>
    <w:rsid w:val="00C32B60"/>
    <w:rsid w:val="00C346BA"/>
    <w:rsid w:val="00C3553D"/>
    <w:rsid w:val="00C35A37"/>
    <w:rsid w:val="00C412F9"/>
    <w:rsid w:val="00C41819"/>
    <w:rsid w:val="00C46452"/>
    <w:rsid w:val="00C46694"/>
    <w:rsid w:val="00C553AD"/>
    <w:rsid w:val="00C56E01"/>
    <w:rsid w:val="00C56EE8"/>
    <w:rsid w:val="00C61CBD"/>
    <w:rsid w:val="00C65090"/>
    <w:rsid w:val="00C66D0C"/>
    <w:rsid w:val="00C704B1"/>
    <w:rsid w:val="00C716DB"/>
    <w:rsid w:val="00C740C0"/>
    <w:rsid w:val="00C776D2"/>
    <w:rsid w:val="00C778F2"/>
    <w:rsid w:val="00C81B2D"/>
    <w:rsid w:val="00C81F4C"/>
    <w:rsid w:val="00C85625"/>
    <w:rsid w:val="00C86237"/>
    <w:rsid w:val="00C87A5E"/>
    <w:rsid w:val="00C911B9"/>
    <w:rsid w:val="00C921B1"/>
    <w:rsid w:val="00C9329F"/>
    <w:rsid w:val="00C961BA"/>
    <w:rsid w:val="00CA1000"/>
    <w:rsid w:val="00CA18C2"/>
    <w:rsid w:val="00CA272E"/>
    <w:rsid w:val="00CA2E2B"/>
    <w:rsid w:val="00CA3A65"/>
    <w:rsid w:val="00CA46F9"/>
    <w:rsid w:val="00CA573C"/>
    <w:rsid w:val="00CA5A60"/>
    <w:rsid w:val="00CA6457"/>
    <w:rsid w:val="00CB0C8C"/>
    <w:rsid w:val="00CB1C0A"/>
    <w:rsid w:val="00CB625B"/>
    <w:rsid w:val="00CB7370"/>
    <w:rsid w:val="00CC23AD"/>
    <w:rsid w:val="00CC29AB"/>
    <w:rsid w:val="00CC3535"/>
    <w:rsid w:val="00CC3ACC"/>
    <w:rsid w:val="00CC662B"/>
    <w:rsid w:val="00CC666A"/>
    <w:rsid w:val="00CC6F93"/>
    <w:rsid w:val="00CC7E6E"/>
    <w:rsid w:val="00CD311E"/>
    <w:rsid w:val="00CD69EF"/>
    <w:rsid w:val="00CD7F9E"/>
    <w:rsid w:val="00CE4214"/>
    <w:rsid w:val="00CE504F"/>
    <w:rsid w:val="00CF1125"/>
    <w:rsid w:val="00CF7ED1"/>
    <w:rsid w:val="00D00924"/>
    <w:rsid w:val="00D02031"/>
    <w:rsid w:val="00D02A86"/>
    <w:rsid w:val="00D10C43"/>
    <w:rsid w:val="00D114C2"/>
    <w:rsid w:val="00D14E31"/>
    <w:rsid w:val="00D2166A"/>
    <w:rsid w:val="00D21849"/>
    <w:rsid w:val="00D24B0E"/>
    <w:rsid w:val="00D26843"/>
    <w:rsid w:val="00D32D1B"/>
    <w:rsid w:val="00D345BC"/>
    <w:rsid w:val="00D36836"/>
    <w:rsid w:val="00D40F4A"/>
    <w:rsid w:val="00D44E74"/>
    <w:rsid w:val="00D45FCD"/>
    <w:rsid w:val="00D472D2"/>
    <w:rsid w:val="00D47B62"/>
    <w:rsid w:val="00D50B28"/>
    <w:rsid w:val="00D53A64"/>
    <w:rsid w:val="00D614EE"/>
    <w:rsid w:val="00D66521"/>
    <w:rsid w:val="00D66F8B"/>
    <w:rsid w:val="00D7394C"/>
    <w:rsid w:val="00D73C36"/>
    <w:rsid w:val="00D764AB"/>
    <w:rsid w:val="00D7695D"/>
    <w:rsid w:val="00D86D19"/>
    <w:rsid w:val="00D93B83"/>
    <w:rsid w:val="00D93C09"/>
    <w:rsid w:val="00D95FF0"/>
    <w:rsid w:val="00D97ED4"/>
    <w:rsid w:val="00DA44E9"/>
    <w:rsid w:val="00DA4F7D"/>
    <w:rsid w:val="00DA653C"/>
    <w:rsid w:val="00DA65A3"/>
    <w:rsid w:val="00DA7115"/>
    <w:rsid w:val="00DB5611"/>
    <w:rsid w:val="00DB5A1D"/>
    <w:rsid w:val="00DB7023"/>
    <w:rsid w:val="00DB7456"/>
    <w:rsid w:val="00DB7C65"/>
    <w:rsid w:val="00DC2529"/>
    <w:rsid w:val="00DC34D6"/>
    <w:rsid w:val="00DC42F7"/>
    <w:rsid w:val="00DC69CA"/>
    <w:rsid w:val="00DD26E5"/>
    <w:rsid w:val="00DD28C0"/>
    <w:rsid w:val="00DD3CFA"/>
    <w:rsid w:val="00DD7AF9"/>
    <w:rsid w:val="00DE3A1C"/>
    <w:rsid w:val="00DE60D3"/>
    <w:rsid w:val="00DE6206"/>
    <w:rsid w:val="00DF1AB9"/>
    <w:rsid w:val="00DF3BF2"/>
    <w:rsid w:val="00E006DF"/>
    <w:rsid w:val="00E017BE"/>
    <w:rsid w:val="00E01D5B"/>
    <w:rsid w:val="00E059C0"/>
    <w:rsid w:val="00E05F93"/>
    <w:rsid w:val="00E077AF"/>
    <w:rsid w:val="00E07A80"/>
    <w:rsid w:val="00E07BAB"/>
    <w:rsid w:val="00E1177C"/>
    <w:rsid w:val="00E1544B"/>
    <w:rsid w:val="00E15DD3"/>
    <w:rsid w:val="00E2273D"/>
    <w:rsid w:val="00E231C3"/>
    <w:rsid w:val="00E2350D"/>
    <w:rsid w:val="00E26100"/>
    <w:rsid w:val="00E40BBB"/>
    <w:rsid w:val="00E40D32"/>
    <w:rsid w:val="00E41A5B"/>
    <w:rsid w:val="00E43C1D"/>
    <w:rsid w:val="00E43FB5"/>
    <w:rsid w:val="00E469D2"/>
    <w:rsid w:val="00E512BE"/>
    <w:rsid w:val="00E52ED2"/>
    <w:rsid w:val="00E537F1"/>
    <w:rsid w:val="00E54610"/>
    <w:rsid w:val="00E607FE"/>
    <w:rsid w:val="00E62C03"/>
    <w:rsid w:val="00E6575A"/>
    <w:rsid w:val="00E674C2"/>
    <w:rsid w:val="00E67B46"/>
    <w:rsid w:val="00E71561"/>
    <w:rsid w:val="00E720FE"/>
    <w:rsid w:val="00E73A88"/>
    <w:rsid w:val="00E747D0"/>
    <w:rsid w:val="00E803E1"/>
    <w:rsid w:val="00E844C3"/>
    <w:rsid w:val="00E866C3"/>
    <w:rsid w:val="00E86DDE"/>
    <w:rsid w:val="00E92128"/>
    <w:rsid w:val="00E92556"/>
    <w:rsid w:val="00E92EA8"/>
    <w:rsid w:val="00E93E3E"/>
    <w:rsid w:val="00E948AF"/>
    <w:rsid w:val="00E96011"/>
    <w:rsid w:val="00EA29D5"/>
    <w:rsid w:val="00EA5209"/>
    <w:rsid w:val="00EA537E"/>
    <w:rsid w:val="00EA78DE"/>
    <w:rsid w:val="00EB08CC"/>
    <w:rsid w:val="00EB230E"/>
    <w:rsid w:val="00EB30CD"/>
    <w:rsid w:val="00EB3918"/>
    <w:rsid w:val="00EB51B2"/>
    <w:rsid w:val="00EB5E94"/>
    <w:rsid w:val="00EB70B8"/>
    <w:rsid w:val="00EB738B"/>
    <w:rsid w:val="00EC0380"/>
    <w:rsid w:val="00EC18B6"/>
    <w:rsid w:val="00EC400C"/>
    <w:rsid w:val="00EC4961"/>
    <w:rsid w:val="00EC4A00"/>
    <w:rsid w:val="00EC5CE3"/>
    <w:rsid w:val="00EC60C8"/>
    <w:rsid w:val="00EC6BF5"/>
    <w:rsid w:val="00ED1685"/>
    <w:rsid w:val="00ED1771"/>
    <w:rsid w:val="00ED1B18"/>
    <w:rsid w:val="00ED3D9A"/>
    <w:rsid w:val="00ED41E8"/>
    <w:rsid w:val="00ED4B0F"/>
    <w:rsid w:val="00ED565F"/>
    <w:rsid w:val="00ED6C87"/>
    <w:rsid w:val="00ED6CAE"/>
    <w:rsid w:val="00ED71C6"/>
    <w:rsid w:val="00EE0227"/>
    <w:rsid w:val="00EE2364"/>
    <w:rsid w:val="00EE3DA7"/>
    <w:rsid w:val="00EE6775"/>
    <w:rsid w:val="00EE693F"/>
    <w:rsid w:val="00EE6DFD"/>
    <w:rsid w:val="00EE790D"/>
    <w:rsid w:val="00EF2245"/>
    <w:rsid w:val="00EF2C11"/>
    <w:rsid w:val="00EF3BCB"/>
    <w:rsid w:val="00EF4A1B"/>
    <w:rsid w:val="00EF7415"/>
    <w:rsid w:val="00F04EA7"/>
    <w:rsid w:val="00F10209"/>
    <w:rsid w:val="00F11613"/>
    <w:rsid w:val="00F15A3E"/>
    <w:rsid w:val="00F15E16"/>
    <w:rsid w:val="00F16353"/>
    <w:rsid w:val="00F17392"/>
    <w:rsid w:val="00F17540"/>
    <w:rsid w:val="00F17EEA"/>
    <w:rsid w:val="00F21F92"/>
    <w:rsid w:val="00F2545C"/>
    <w:rsid w:val="00F25934"/>
    <w:rsid w:val="00F303D2"/>
    <w:rsid w:val="00F31181"/>
    <w:rsid w:val="00F32BA5"/>
    <w:rsid w:val="00F3300A"/>
    <w:rsid w:val="00F34495"/>
    <w:rsid w:val="00F35AEE"/>
    <w:rsid w:val="00F35E00"/>
    <w:rsid w:val="00F37C59"/>
    <w:rsid w:val="00F40343"/>
    <w:rsid w:val="00F406EF"/>
    <w:rsid w:val="00F40B3D"/>
    <w:rsid w:val="00F40F40"/>
    <w:rsid w:val="00F40FB0"/>
    <w:rsid w:val="00F423D1"/>
    <w:rsid w:val="00F424D2"/>
    <w:rsid w:val="00F42918"/>
    <w:rsid w:val="00F433DC"/>
    <w:rsid w:val="00F45FE3"/>
    <w:rsid w:val="00F51ED1"/>
    <w:rsid w:val="00F52F63"/>
    <w:rsid w:val="00F53051"/>
    <w:rsid w:val="00F556E8"/>
    <w:rsid w:val="00F55748"/>
    <w:rsid w:val="00F55D92"/>
    <w:rsid w:val="00F5719D"/>
    <w:rsid w:val="00F60A62"/>
    <w:rsid w:val="00F61D18"/>
    <w:rsid w:val="00F62674"/>
    <w:rsid w:val="00F633CA"/>
    <w:rsid w:val="00F63887"/>
    <w:rsid w:val="00F639F7"/>
    <w:rsid w:val="00F63A98"/>
    <w:rsid w:val="00F67F81"/>
    <w:rsid w:val="00F70ACB"/>
    <w:rsid w:val="00F71ACA"/>
    <w:rsid w:val="00F728C8"/>
    <w:rsid w:val="00F736D1"/>
    <w:rsid w:val="00F82566"/>
    <w:rsid w:val="00F85D0D"/>
    <w:rsid w:val="00F91F17"/>
    <w:rsid w:val="00F94D39"/>
    <w:rsid w:val="00F95762"/>
    <w:rsid w:val="00FA13E0"/>
    <w:rsid w:val="00FA213B"/>
    <w:rsid w:val="00FA27A2"/>
    <w:rsid w:val="00FA345E"/>
    <w:rsid w:val="00FA3562"/>
    <w:rsid w:val="00FA749F"/>
    <w:rsid w:val="00FB1169"/>
    <w:rsid w:val="00FB5B59"/>
    <w:rsid w:val="00FC25FB"/>
    <w:rsid w:val="00FC65A9"/>
    <w:rsid w:val="00FC7ED4"/>
    <w:rsid w:val="00FD010E"/>
    <w:rsid w:val="00FD1BF8"/>
    <w:rsid w:val="00FD3B87"/>
    <w:rsid w:val="00FD5F04"/>
    <w:rsid w:val="00FD6F99"/>
    <w:rsid w:val="00FD7163"/>
    <w:rsid w:val="00FD7E6C"/>
    <w:rsid w:val="00FE2BBA"/>
    <w:rsid w:val="00FE37D0"/>
    <w:rsid w:val="00FE463C"/>
    <w:rsid w:val="00FE53E2"/>
    <w:rsid w:val="00FE6AED"/>
    <w:rsid w:val="00FF044A"/>
    <w:rsid w:val="00FF15B4"/>
    <w:rsid w:val="00FF3449"/>
    <w:rsid w:val="00FF46CF"/>
    <w:rsid w:val="00FF5996"/>
    <w:rsid w:val="0B621240"/>
    <w:rsid w:val="0EA52342"/>
    <w:rsid w:val="138D1D5C"/>
    <w:rsid w:val="1596425E"/>
    <w:rsid w:val="178C77CF"/>
    <w:rsid w:val="197C6A9E"/>
    <w:rsid w:val="1C3A75F4"/>
    <w:rsid w:val="24E57D57"/>
    <w:rsid w:val="24ED620B"/>
    <w:rsid w:val="2C730195"/>
    <w:rsid w:val="2FCC2F52"/>
    <w:rsid w:val="31D6516E"/>
    <w:rsid w:val="33352B9D"/>
    <w:rsid w:val="37A21255"/>
    <w:rsid w:val="383C50D1"/>
    <w:rsid w:val="389E23F2"/>
    <w:rsid w:val="39B54255"/>
    <w:rsid w:val="3D7F5583"/>
    <w:rsid w:val="471578C6"/>
    <w:rsid w:val="4DEA2D59"/>
    <w:rsid w:val="4F355F59"/>
    <w:rsid w:val="50D36FF2"/>
    <w:rsid w:val="531A6B64"/>
    <w:rsid w:val="543B6596"/>
    <w:rsid w:val="55F65867"/>
    <w:rsid w:val="566A74A8"/>
    <w:rsid w:val="56CA1EB8"/>
    <w:rsid w:val="59EB5A86"/>
    <w:rsid w:val="5A1A27E5"/>
    <w:rsid w:val="5B48083C"/>
    <w:rsid w:val="5BBD0E6B"/>
    <w:rsid w:val="5D210B1F"/>
    <w:rsid w:val="5DD20A4D"/>
    <w:rsid w:val="62716A08"/>
    <w:rsid w:val="642C2EAF"/>
    <w:rsid w:val="683F3AEE"/>
    <w:rsid w:val="689D5210"/>
    <w:rsid w:val="68B9703B"/>
    <w:rsid w:val="6AB5283B"/>
    <w:rsid w:val="73435CBA"/>
    <w:rsid w:val="79B85A8B"/>
    <w:rsid w:val="7A0400BD"/>
    <w:rsid w:val="7AEC944A"/>
    <w:rsid w:val="7D5131AE"/>
    <w:rsid w:val="7D897F64"/>
    <w:rsid w:val="7D8D7D41"/>
    <w:rsid w:val="BFDF87D6"/>
    <w:rsid w:val="CBFFFCE5"/>
    <w:rsid w:val="EACF669F"/>
    <w:rsid w:val="FEB77FDD"/>
    <w:rsid w:val="FEFA5E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iPriority="99"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2"/>
    <w:qFormat/>
    <w:uiPriority w:val="0"/>
    <w:pPr>
      <w:spacing w:after="120"/>
    </w:pPr>
  </w:style>
  <w:style w:type="paragraph" w:styleId="3">
    <w:name w:val="annotation text"/>
    <w:basedOn w:val="1"/>
    <w:link w:val="21"/>
    <w:qFormat/>
    <w:uiPriority w:val="0"/>
    <w:pPr>
      <w:jc w:val="left"/>
    </w:pPr>
  </w:style>
  <w:style w:type="paragraph" w:styleId="4">
    <w:name w:val="Salutation"/>
    <w:basedOn w:val="1"/>
    <w:next w:val="1"/>
    <w:unhideWhenUsed/>
    <w:qFormat/>
    <w:uiPriority w:val="99"/>
  </w:style>
  <w:style w:type="paragraph" w:styleId="5">
    <w:name w:val="Body Text Indent"/>
    <w:basedOn w:val="1"/>
    <w:link w:val="22"/>
    <w:qFormat/>
    <w:uiPriority w:val="0"/>
    <w:pPr>
      <w:spacing w:after="120"/>
      <w:ind w:left="420" w:leftChars="200"/>
    </w:pPr>
    <w:rPr>
      <w:rFonts w:eastAsia="仿宋_GB2312"/>
      <w:sz w:val="32"/>
      <w:szCs w:val="20"/>
    </w:rPr>
  </w:style>
  <w:style w:type="paragraph" w:styleId="6">
    <w:name w:val="Plain Text"/>
    <w:basedOn w:val="1"/>
    <w:link w:val="23"/>
    <w:qFormat/>
    <w:uiPriority w:val="0"/>
    <w:pPr>
      <w:widowControl/>
      <w:jc w:val="left"/>
    </w:pPr>
    <w:rPr>
      <w:rFonts w:ascii="宋体" w:hAnsi="Courier New" w:cs="Courier New"/>
      <w:szCs w:val="21"/>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qFormat/>
    <w:uiPriority w:val="0"/>
    <w:pPr>
      <w:snapToGrid w:val="0"/>
      <w:jc w:val="left"/>
    </w:pPr>
    <w:rPr>
      <w:rFonts w:eastAsia="仿宋_GB2312"/>
      <w:sz w:val="18"/>
      <w:szCs w:val="32"/>
    </w:rPr>
  </w:style>
  <w:style w:type="paragraph" w:styleId="12">
    <w:name w:val="toc 2"/>
    <w:basedOn w:val="1"/>
    <w:next w:val="1"/>
    <w:unhideWhenUsed/>
    <w:qFormat/>
    <w:uiPriority w:val="0"/>
    <w:pPr>
      <w:widowControl/>
      <w:spacing w:after="100" w:line="259" w:lineRule="auto"/>
      <w:ind w:left="220"/>
      <w:jc w:val="left"/>
    </w:pPr>
    <w:rPr>
      <w:rFonts w:eastAsia="仿宋"/>
      <w:b/>
      <w:kern w:val="0"/>
      <w:sz w:val="30"/>
      <w:szCs w:val="22"/>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3"/>
    <w:next w:val="3"/>
    <w:link w:val="26"/>
    <w:qFormat/>
    <w:uiPriority w:val="0"/>
    <w:rPr>
      <w:b/>
      <w:bCs/>
    </w:rPr>
  </w:style>
  <w:style w:type="character" w:styleId="17">
    <w:name w:val="page number"/>
    <w:basedOn w:val="16"/>
    <w:qFormat/>
    <w:uiPriority w:val="0"/>
  </w:style>
  <w:style w:type="character" w:styleId="18">
    <w:name w:val="Emphasis"/>
    <w:basedOn w:val="16"/>
    <w:qFormat/>
    <w:uiPriority w:val="20"/>
    <w:rPr>
      <w:i/>
      <w:iCs/>
    </w:rPr>
  </w:style>
  <w:style w:type="character" w:styleId="19">
    <w:name w:val="Hyperlink"/>
    <w:basedOn w:val="16"/>
    <w:qFormat/>
    <w:uiPriority w:val="0"/>
    <w:rPr>
      <w:color w:val="0000FF"/>
      <w:u w:val="single"/>
    </w:rPr>
  </w:style>
  <w:style w:type="character" w:styleId="20">
    <w:name w:val="annotation reference"/>
    <w:basedOn w:val="16"/>
    <w:qFormat/>
    <w:uiPriority w:val="0"/>
    <w:rPr>
      <w:sz w:val="21"/>
      <w:szCs w:val="21"/>
    </w:rPr>
  </w:style>
  <w:style w:type="character" w:customStyle="1" w:styleId="21">
    <w:name w:val="批注文字 Char"/>
    <w:basedOn w:val="16"/>
    <w:link w:val="3"/>
    <w:qFormat/>
    <w:uiPriority w:val="0"/>
    <w:rPr>
      <w:kern w:val="2"/>
      <w:sz w:val="21"/>
      <w:szCs w:val="24"/>
    </w:rPr>
  </w:style>
  <w:style w:type="character" w:customStyle="1" w:styleId="22">
    <w:name w:val="正文文本缩进 Char"/>
    <w:basedOn w:val="16"/>
    <w:link w:val="5"/>
    <w:qFormat/>
    <w:locked/>
    <w:uiPriority w:val="0"/>
    <w:rPr>
      <w:rFonts w:eastAsia="仿宋_GB2312"/>
      <w:kern w:val="2"/>
      <w:sz w:val="32"/>
    </w:rPr>
  </w:style>
  <w:style w:type="character" w:customStyle="1" w:styleId="23">
    <w:name w:val="纯文本 Char"/>
    <w:basedOn w:val="16"/>
    <w:link w:val="6"/>
    <w:qFormat/>
    <w:uiPriority w:val="0"/>
    <w:rPr>
      <w:rFonts w:ascii="宋体" w:hAnsi="Courier New" w:eastAsia="宋体" w:cs="Courier New"/>
      <w:kern w:val="2"/>
      <w:sz w:val="21"/>
      <w:szCs w:val="21"/>
      <w:lang w:val="en-US" w:eastAsia="zh-CN" w:bidi="ar-SA"/>
    </w:rPr>
  </w:style>
  <w:style w:type="character" w:customStyle="1" w:styleId="24">
    <w:name w:val="页脚 Char"/>
    <w:link w:val="9"/>
    <w:qFormat/>
    <w:uiPriority w:val="99"/>
    <w:rPr>
      <w:kern w:val="2"/>
      <w:sz w:val="18"/>
      <w:szCs w:val="18"/>
      <w:lang w:bidi="ar-SA"/>
    </w:rPr>
  </w:style>
  <w:style w:type="character" w:customStyle="1" w:styleId="25">
    <w:name w:val="页眉 Char"/>
    <w:link w:val="10"/>
    <w:qFormat/>
    <w:uiPriority w:val="0"/>
    <w:rPr>
      <w:kern w:val="2"/>
      <w:sz w:val="18"/>
      <w:szCs w:val="18"/>
      <w:lang w:bidi="ar-SA"/>
    </w:rPr>
  </w:style>
  <w:style w:type="character" w:customStyle="1" w:styleId="26">
    <w:name w:val="批注主题 Char"/>
    <w:basedOn w:val="21"/>
    <w:link w:val="14"/>
    <w:qFormat/>
    <w:uiPriority w:val="0"/>
    <w:rPr>
      <w:b/>
      <w:bCs/>
      <w:kern w:val="2"/>
      <w:sz w:val="21"/>
      <w:szCs w:val="24"/>
    </w:rPr>
  </w:style>
  <w:style w:type="character" w:customStyle="1" w:styleId="27">
    <w:name w:val="正文文本缩进 Char1"/>
    <w:basedOn w:val="16"/>
    <w:qFormat/>
    <w:uiPriority w:val="0"/>
    <w:rPr>
      <w:kern w:val="2"/>
      <w:sz w:val="21"/>
      <w:szCs w:val="24"/>
    </w:rPr>
  </w:style>
  <w:style w:type="paragraph" w:customStyle="1" w:styleId="28">
    <w:name w:val="样式1"/>
    <w:basedOn w:val="1"/>
    <w:qFormat/>
    <w:uiPriority w:val="0"/>
    <w:rPr>
      <w:rFonts w:eastAsia="仿宋_GB2312" w:cs="Georgia"/>
      <w:sz w:val="32"/>
    </w:rPr>
  </w:style>
  <w:style w:type="paragraph" w:customStyle="1" w:styleId="29">
    <w:name w:val="Char1"/>
    <w:basedOn w:val="1"/>
    <w:qFormat/>
    <w:uiPriority w:val="0"/>
    <w:rPr>
      <w:szCs w:val="20"/>
    </w:rPr>
  </w:style>
  <w:style w:type="paragraph" w:customStyle="1" w:styleId="30">
    <w:name w:val="_Style 41"/>
    <w:basedOn w:val="1"/>
    <w:qFormat/>
    <w:uiPriority w:val="0"/>
    <w:pPr>
      <w:tabs>
        <w:tab w:val="left" w:pos="360"/>
      </w:tabs>
    </w:pPr>
    <w:rPr>
      <w:szCs w:val="20"/>
    </w:rPr>
  </w:style>
  <w:style w:type="character" w:customStyle="1" w:styleId="31">
    <w:name w:val="lh22px1"/>
    <w:basedOn w:val="16"/>
    <w:qFormat/>
    <w:uiPriority w:val="0"/>
    <w:rPr>
      <w:rFonts w:hint="eastAsia" w:ascii="宋体" w:hAnsi="宋体" w:eastAsia="宋体"/>
      <w:sz w:val="21"/>
      <w:szCs w:val="21"/>
    </w:rPr>
  </w:style>
  <w:style w:type="character" w:customStyle="1" w:styleId="32">
    <w:name w:val="正文文本 Char"/>
    <w:basedOn w:val="16"/>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standalone='no'?>
<b:Sources xmlns:b="http://schemas.openxmlformats.org/officeDocument/2006/bibliography" Version="6" StyleName="APA" xmlns:b="http://schemas.openxmlformats.org/officeDocument/2006/bibliography"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A40292-9E4A-494D-B67D-0A34236FC2E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49</Pages>
  <Words>40</Words>
  <Characters>229</Characters>
  <Lines>1</Lines>
  <Paragraphs>1</Paragraphs>
  <TotalTime>8</TotalTime>
  <ScaleCrop>false</ScaleCrop>
  <LinksUpToDate>false</LinksUpToDate>
  <CharactersWithSpaces>268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2023-02-11T12:16:00Z</dcterms:created>
  <dc:creator>微软用户</dc:creator>
  <cp:lastModifiedBy>user</cp:lastModifiedBy>
  <cp:lastPrinted>2025-04-02T10:29:00Z</cp:lastPrinted>
  <dcterms:modified xsi:type="dcterms:W3CDTF">2026-01-30T15:49:20Z</dcterms:modified>
  <dc:title>成都市温江区人民政府办公室</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1B1486502C694C6E84685E91008436A0</vt:lpwstr>
  </property>
</Properties>
</file>