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700" w:lineRule="exact"/>
        <w:jc w:val="center"/>
        <w:rPr>
          <w:rFonts w:eastAsia="方正小标宋简体"/>
          <w:sz w:val="44"/>
          <w:szCs w:val="44"/>
        </w:rPr>
      </w:pPr>
      <w:r>
        <w:rPr>
          <w:rFonts w:eastAsia="方正小标宋简体"/>
          <w:sz w:val="44"/>
          <w:szCs w:val="44"/>
        </w:rPr>
        <w:t>成都市温江区人民政府</w:t>
      </w:r>
    </w:p>
    <w:p>
      <w:pPr>
        <w:overflowPunct w:val="0"/>
        <w:spacing w:line="700" w:lineRule="exact"/>
        <w:jc w:val="center"/>
        <w:rPr>
          <w:rFonts w:eastAsia="方正小标宋简体"/>
          <w:spacing w:val="-6"/>
          <w:sz w:val="44"/>
          <w:szCs w:val="44"/>
        </w:rPr>
      </w:pPr>
      <w:r>
        <w:rPr>
          <w:rFonts w:eastAsia="方正小标宋简体"/>
          <w:sz w:val="44"/>
          <w:szCs w:val="44"/>
        </w:rPr>
        <w:t>关于成都市</w:t>
      </w:r>
      <w:r>
        <w:rPr>
          <w:rFonts w:eastAsia="方正小标宋简体"/>
          <w:spacing w:val="-6"/>
          <w:sz w:val="44"/>
          <w:szCs w:val="44"/>
        </w:rPr>
        <w:t>温江区2023年国民经济和社会发展</w:t>
      </w:r>
    </w:p>
    <w:p>
      <w:pPr>
        <w:overflowPunct w:val="0"/>
        <w:spacing w:line="700" w:lineRule="exact"/>
        <w:jc w:val="center"/>
        <w:rPr>
          <w:rFonts w:eastAsia="方正小标宋简体"/>
          <w:sz w:val="44"/>
          <w:szCs w:val="44"/>
        </w:rPr>
      </w:pPr>
      <w:r>
        <w:rPr>
          <w:rFonts w:eastAsia="方正小标宋简体"/>
          <w:sz w:val="44"/>
          <w:szCs w:val="44"/>
        </w:rPr>
        <w:t>计划执行情况及2024年国民经济和社会发展计划草案的报告（书面）</w:t>
      </w:r>
    </w:p>
    <w:p>
      <w:pPr>
        <w:overflowPunct w:val="0"/>
        <w:spacing w:line="640" w:lineRule="exact"/>
        <w:jc w:val="center"/>
        <w:rPr>
          <w:rFonts w:eastAsia="楷体_GB2312"/>
          <w:sz w:val="32"/>
          <w:szCs w:val="32"/>
        </w:rPr>
      </w:pPr>
      <w:r>
        <w:rPr>
          <w:rFonts w:eastAsia="楷体_GB2312"/>
          <w:sz w:val="32"/>
          <w:szCs w:val="32"/>
        </w:rPr>
        <w:t>2024年1月17日</w:t>
      </w:r>
    </w:p>
    <w:p>
      <w:pPr>
        <w:overflowPunct w:val="0"/>
        <w:spacing w:line="640" w:lineRule="exact"/>
        <w:ind w:firstLine="567"/>
        <w:jc w:val="center"/>
        <w:rPr>
          <w:rFonts w:eastAsia="楷体_GB2312"/>
          <w:sz w:val="32"/>
          <w:szCs w:val="32"/>
        </w:rPr>
      </w:pPr>
      <w:r>
        <w:rPr>
          <w:rFonts w:eastAsia="楷体_GB2312"/>
          <w:sz w:val="32"/>
          <w:szCs w:val="32"/>
        </w:rPr>
        <w:t>在成都市温江区第十九届人民代表大会第五次会议上</w:t>
      </w:r>
    </w:p>
    <w:p>
      <w:pPr>
        <w:overflowPunct w:val="0"/>
        <w:spacing w:line="640" w:lineRule="exact"/>
        <w:jc w:val="center"/>
        <w:rPr>
          <w:rFonts w:eastAsia="楷体_GB2312"/>
          <w:sz w:val="32"/>
          <w:szCs w:val="32"/>
        </w:rPr>
      </w:pPr>
      <w:r>
        <w:rPr>
          <w:rFonts w:eastAsia="楷体_GB2312"/>
          <w:sz w:val="32"/>
          <w:szCs w:val="32"/>
        </w:rPr>
        <w:t>成都市温江区发展和改革局</w:t>
      </w:r>
    </w:p>
    <w:p>
      <w:pPr>
        <w:overflowPunct w:val="0"/>
        <w:spacing w:line="594" w:lineRule="exact"/>
        <w:jc w:val="left"/>
        <w:rPr>
          <w:rFonts w:eastAsia="仿宋_GB2312"/>
          <w:sz w:val="32"/>
          <w:szCs w:val="32"/>
        </w:rPr>
      </w:pPr>
    </w:p>
    <w:p>
      <w:pPr>
        <w:overflowPunct w:val="0"/>
        <w:spacing w:line="574" w:lineRule="exact"/>
        <w:rPr>
          <w:rFonts w:eastAsia="仿宋_GB2312"/>
          <w:sz w:val="32"/>
          <w:szCs w:val="32"/>
        </w:rPr>
      </w:pPr>
      <w:r>
        <w:rPr>
          <w:rFonts w:eastAsia="仿宋_GB2312"/>
          <w:sz w:val="32"/>
          <w:szCs w:val="32"/>
        </w:rPr>
        <w:t>各位代表：</w:t>
      </w:r>
    </w:p>
    <w:p>
      <w:pPr>
        <w:overflowPunct w:val="0"/>
        <w:spacing w:line="574" w:lineRule="exact"/>
        <w:ind w:firstLine="640" w:firstLineChars="200"/>
        <w:rPr>
          <w:rFonts w:eastAsia="仿宋_GB2312"/>
          <w:sz w:val="32"/>
          <w:szCs w:val="32"/>
        </w:rPr>
      </w:pPr>
      <w:r>
        <w:rPr>
          <w:rFonts w:eastAsia="仿宋_GB2312"/>
          <w:sz w:val="32"/>
          <w:szCs w:val="32"/>
        </w:rPr>
        <w:t>受区人民政府委托，现将成都市温江区2023年国民经济和社会发展计划执行情况及2024年国民经济和社会发展计划草案提请区十九届人大五次会议审查。</w:t>
      </w:r>
    </w:p>
    <w:p>
      <w:pPr>
        <w:overflowPunct w:val="0"/>
        <w:spacing w:line="574" w:lineRule="exact"/>
        <w:ind w:firstLine="640" w:firstLineChars="200"/>
        <w:rPr>
          <w:rFonts w:eastAsia="黑体"/>
          <w:color w:val="000000"/>
          <w:sz w:val="32"/>
          <w:szCs w:val="32"/>
        </w:rPr>
      </w:pPr>
      <w:r>
        <w:rPr>
          <w:rFonts w:eastAsia="黑体"/>
          <w:color w:val="000000"/>
          <w:sz w:val="32"/>
          <w:szCs w:val="32"/>
        </w:rPr>
        <w:t>一、2023年国民经济和社会发展计划执行情况</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2023年，面对复杂严峻的外部环境和艰巨繁重的改革发展稳定任务，在区委坚强领导下，在区人大、区政协监督支持下，全区坚定以习近平新时代中国特色社会主义思想为指导，深入贯彻党的二十大和习近平总书记对四川工作系列重要指示精神，全面落实党中央国务院、省委省政府、市委市政府和区委决策部署，牢牢把握高质量发展首要任务，全力建设“幸福温江·美好之城”，全区经济社会各项事业取得新的进展，以实体经济为支撑的现代化产业体系更加有力，以大美形态为表达的城乡融合发展更加协调，以“温江一家亲”为理念的社会治理体系更加完善，较好地完成了区十九届人大三次会议确定的目标任务。生物技术药产业集群上榜2023年度国家级中小企业特色产业集群；成都国家农业科技园区成功通过科技部国家农业科技园区验收；成都医学城被省科技厅评为优秀高新区并作为全市唯一入选第二批成渝地区双城经济圈产业合作示范园区；获省政府推动创新平台加快建设、取得重大科研成果、产出科技成果在川就地转化等方面成效显著的督查激励；获评优秀省级成果转移转化示范区、四川省农村改革工作先进区、</w:t>
      </w:r>
      <w:r>
        <w:rPr>
          <w:rFonts w:eastAsia="仿宋_GB2312"/>
          <w:bCs/>
          <w:sz w:val="32"/>
          <w:szCs w:val="32"/>
        </w:rPr>
        <w:t>四川省第十二届双拥模范区</w:t>
      </w:r>
      <w:r>
        <w:rPr>
          <w:rFonts w:eastAsia="仿宋_GB2312"/>
          <w:bCs/>
          <w:color w:val="000000"/>
          <w:sz w:val="32"/>
          <w:szCs w:val="32"/>
        </w:rPr>
        <w:t>；5个案例入选成都市2023年建设践行新发展理念的公园城市示范区十大百佳案例；成功举办大运会温江赛区赛事和FISU世界学术大会。全年地区生产总值增长5.5%左右</w:t>
      </w:r>
      <w:r>
        <w:rPr>
          <w:rFonts w:eastAsia="仿宋_GB2312"/>
          <w:bCs/>
          <w:color w:val="000000"/>
          <w:sz w:val="32"/>
          <w:szCs w:val="32"/>
          <w:highlight w:val="none"/>
        </w:rPr>
        <w:t>（预计数，下同）</w:t>
      </w:r>
      <w:r>
        <w:rPr>
          <w:rFonts w:eastAsia="仿宋_GB2312"/>
          <w:bCs/>
          <w:color w:val="000000"/>
          <w:sz w:val="32"/>
          <w:szCs w:val="32"/>
        </w:rPr>
        <w:t>；社会消费品零售总额增长9.5%</w:t>
      </w:r>
      <w:r>
        <w:rPr>
          <w:rFonts w:eastAsia="仿宋_GB2312"/>
          <w:bCs/>
          <w:color w:val="000000"/>
          <w:sz w:val="32"/>
          <w:szCs w:val="32"/>
          <w:lang w:val="zh-TW"/>
        </w:rPr>
        <w:t>；</w:t>
      </w:r>
      <w:r>
        <w:rPr>
          <w:rFonts w:eastAsia="仿宋_GB2312"/>
          <w:bCs/>
          <w:color w:val="000000"/>
          <w:sz w:val="32"/>
          <w:szCs w:val="32"/>
        </w:rPr>
        <w:t>地方一般公共预算收入自然口径增长6.3%；金融机构本外币存款余额、贷款余额分别增长15.17%、25.33%；城乡居民人均可支配收入增长与经济增长基本同步。</w:t>
      </w:r>
    </w:p>
    <w:p>
      <w:pPr>
        <w:pStyle w:val="12"/>
        <w:widowControl w:val="0"/>
        <w:numPr>
          <w:ilvl w:val="0"/>
          <w:numId w:val="1"/>
        </w:numPr>
        <w:overflowPunct w:val="0"/>
        <w:spacing w:after="0" w:line="574" w:lineRule="exact"/>
        <w:ind w:left="0" w:firstLine="640" w:firstLineChars="200"/>
        <w:jc w:val="both"/>
        <w:rPr>
          <w:rFonts w:eastAsia="楷体_GB2312"/>
          <w:b w:val="0"/>
          <w:bCs/>
          <w:color w:val="000000"/>
          <w:sz w:val="32"/>
          <w:szCs w:val="32"/>
        </w:rPr>
      </w:pPr>
      <w:r>
        <w:rPr>
          <w:rFonts w:eastAsia="楷体_GB2312"/>
          <w:b w:val="0"/>
          <w:bCs/>
          <w:color w:val="000000"/>
          <w:sz w:val="32"/>
          <w:szCs w:val="32"/>
        </w:rPr>
        <w:t>聚力构建现代化产业体系，产业发展持续壮大</w:t>
      </w:r>
    </w:p>
    <w:p>
      <w:pPr>
        <w:pStyle w:val="12"/>
        <w:widowControl w:val="0"/>
        <w:overflowPunct w:val="0"/>
        <w:spacing w:after="0" w:line="574" w:lineRule="exact"/>
        <w:ind w:firstLine="640" w:firstLineChars="200"/>
        <w:jc w:val="both"/>
        <w:rPr>
          <w:rFonts w:eastAsia="仿宋_GB2312"/>
          <w:b w:val="0"/>
          <w:bCs/>
          <w:color w:val="000000"/>
          <w:kern w:val="2"/>
          <w:sz w:val="32"/>
          <w:szCs w:val="32"/>
        </w:rPr>
      </w:pPr>
      <w:r>
        <w:rPr>
          <w:rFonts w:eastAsia="仿宋_GB2312"/>
          <w:b w:val="0"/>
          <w:bCs/>
          <w:color w:val="000000"/>
          <w:kern w:val="2"/>
          <w:sz w:val="32"/>
          <w:szCs w:val="32"/>
        </w:rPr>
        <w:t>“3+6”现代化产业支撑不断夯实。全面构建产业建圈强链工作架构，组建10个产业专班，优化形成“圈链长+工作专班+园区+镇街+公司”的协同推进机制，精准制定产业链全景图谱、三年行动计划、专项政策，聚焦招商引智、项目建设、“四上”企业培育、五大产业生态体系等核心内容，制定由建圈强链重点指标、经济运行支撑指标、“八个一”工作目标构成的“3+6”现代化产业发展调度评价指标体系，确保建圈强链工作高效推进，取得实绩。全年新增上规企业</w:t>
      </w:r>
      <w:r>
        <w:rPr>
          <w:rFonts w:eastAsia="仿宋_GB2312"/>
          <w:b w:val="0"/>
          <w:bCs/>
          <w:color w:val="000000"/>
          <w:kern w:val="2"/>
          <w:sz w:val="32"/>
          <w:szCs w:val="32"/>
          <w:highlight w:val="none"/>
        </w:rPr>
        <w:t>2</w:t>
      </w:r>
      <w:r>
        <w:rPr>
          <w:rFonts w:hint="eastAsia" w:eastAsia="仿宋_GB2312"/>
          <w:b w:val="0"/>
          <w:bCs/>
          <w:color w:val="000000"/>
          <w:kern w:val="2"/>
          <w:sz w:val="32"/>
          <w:szCs w:val="32"/>
          <w:highlight w:val="none"/>
          <w:lang w:val="en-US" w:eastAsia="zh-CN"/>
        </w:rPr>
        <w:t>2</w:t>
      </w:r>
      <w:r>
        <w:rPr>
          <w:rFonts w:eastAsia="仿宋_GB2312"/>
          <w:b w:val="0"/>
          <w:bCs/>
          <w:color w:val="000000"/>
          <w:kern w:val="2"/>
          <w:sz w:val="32"/>
          <w:szCs w:val="32"/>
        </w:rPr>
        <w:t>家、上榜121家、上云430家，百利天恒成为今年全市首家科创板上市民营企业，科伦博泰完成近两年港股医药领域规模最大IPO。新招引远大医药、粤浦科技等19个产业建圈强链重大项目。“3+6”产业营收突破750亿元。</w:t>
      </w:r>
    </w:p>
    <w:p>
      <w:pPr>
        <w:pStyle w:val="12"/>
        <w:widowControl w:val="0"/>
        <w:overflowPunct w:val="0"/>
        <w:spacing w:after="0" w:line="574" w:lineRule="exact"/>
        <w:ind w:firstLine="640" w:firstLineChars="200"/>
        <w:jc w:val="both"/>
        <w:rPr>
          <w:rFonts w:eastAsia="仿宋_GB2312"/>
          <w:b w:val="0"/>
          <w:bCs/>
          <w:color w:val="000000"/>
          <w:kern w:val="2"/>
          <w:sz w:val="32"/>
          <w:szCs w:val="32"/>
        </w:rPr>
      </w:pPr>
      <w:r>
        <w:rPr>
          <w:rFonts w:eastAsia="仿宋_GB2312"/>
          <w:b w:val="0"/>
          <w:bCs/>
          <w:color w:val="000000"/>
          <w:kern w:val="2"/>
          <w:sz w:val="32"/>
          <w:szCs w:val="32"/>
        </w:rPr>
        <w:t>现代都市农业全链升级。上海联适智慧农业西南总部、卓豪农业四川总部等17个项目落户温江，裸心度假村、农业高新技术产业园二期等7个项目加快建设，创建省市星级现代农业园区3个。培育鲁家滩等农商文旅体融合消费新场景10个，世园会温江分会场筹备工作有序推进，成功筹备举办蓉欧产业对话“中国（成都）—欧洲花木产业论坛”、农业国际贸易高质量发展大会等重量级国际合作交流活动，现场签约意向购销订单总额超1.5亿欧元。</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工业经济稳步向好转型。签约落地北京国科天成等先进制造业项目52个，入选国家级专精特新“小巨人”企业6家，全市排名第2，新增省级专精特新中小企业35家，成钞、统一、顶津入选成都市制造业百强。抢抓抗体偶联药物（ADC）、放射性偶联药物（RDC）发展机遇，打造地标产业“双高峰”，新增大健康领军企业和上下游协作企业29家。推进提质增效4.0版，推动鑫富强等5户低效企业提质增效，华骄电器等7个项目签约建设，盘活现代汽车等低效工业用地946亩，实现以“存量增值”换取发展空间。工业投资增长13%。</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现代服务业扩量提质。聚集星河World科创城、成都旭辉中心等重点项目53个，药易达物流、再新汽车、京东安联等链主企业12家。罗森·成都总部落户温江，招引市级首店品牌15家、特色品牌30余家，升级焕新同兴荟等5条特色街区，三医创新中心四期成功获评成都市专业（特色）楼宇。</w:t>
      </w:r>
      <w:r>
        <w:rPr>
          <w:rFonts w:eastAsia="仿宋_GB2312"/>
          <w:bCs/>
          <w:color w:val="000000"/>
          <w:sz w:val="32"/>
          <w:szCs w:val="32"/>
          <w:lang w:val="zh-TW"/>
        </w:rPr>
        <w:t>打造新能源汽车产业聚集区合生汇智电中心街区，签约理想、沃尔沃等新能源汽车品牌</w:t>
      </w:r>
      <w:r>
        <w:rPr>
          <w:rFonts w:eastAsia="仿宋_GB2312"/>
          <w:bCs/>
          <w:color w:val="000000"/>
          <w:sz w:val="32"/>
          <w:szCs w:val="32"/>
        </w:rPr>
        <w:t>10余</w:t>
      </w:r>
      <w:r>
        <w:rPr>
          <w:rFonts w:eastAsia="仿宋_GB2312"/>
          <w:bCs/>
          <w:color w:val="000000"/>
          <w:sz w:val="32"/>
          <w:szCs w:val="32"/>
          <w:lang w:val="zh-TW"/>
        </w:rPr>
        <w:t>个。</w:t>
      </w:r>
      <w:r>
        <w:rPr>
          <w:rFonts w:eastAsia="仿宋_GB2312"/>
          <w:bCs/>
          <w:color w:val="000000"/>
          <w:sz w:val="32"/>
          <w:szCs w:val="32"/>
        </w:rPr>
        <w:t>天佑祥等6家餐饮企业获评成都名店。打造“到成都街头走一走，在温江遇见你”消费IP，鲁家滩潮流运动消费场景入选2023年度四川省“蜀里安逸”消费新场景，“夜澄莹”澄园获评2023年成都市“今夜无眠”消费场景。全区累计接待旅游人数达1900万人次，旅游收入增长11.7%，商品房屋销售面积增长29.3%。</w:t>
      </w:r>
    </w:p>
    <w:p>
      <w:pPr>
        <w:pStyle w:val="4"/>
        <w:overflowPunct w:val="0"/>
        <w:spacing w:after="0" w:line="574" w:lineRule="exact"/>
        <w:ind w:firstLine="640" w:firstLineChars="200"/>
        <w:rPr>
          <w:rFonts w:eastAsia="仿宋_GB2312"/>
          <w:bCs/>
          <w:color w:val="000000"/>
          <w:sz w:val="32"/>
          <w:szCs w:val="32"/>
        </w:rPr>
      </w:pPr>
      <w:r>
        <w:rPr>
          <w:rFonts w:eastAsia="仿宋_GB2312"/>
          <w:bCs/>
          <w:color w:val="000000"/>
          <w:sz w:val="32"/>
          <w:szCs w:val="32"/>
        </w:rPr>
        <w:t>数字经济与实体经济深度融合。产业数字化持续推进，新征集完成34家企业列入智能制造诊断名单，征集完成全市排名第1。新增培育3个区级数字化车间和智能工厂、6个市级数字化车间和智能工厂。四川航天烽火、成都百裕制药2家企业入选工信部2023年度智能制造示范优秀场景，四川省健康医疗大数据基地入选省级数字经济典型案例。新型基础设施建设不断夯实，新建5G通信基站1000个，累计建成5G基站3083个，每万人拥有5G基站数达39.9个，在全市率先实现5G独立组网规模部署，网络质量全市排名前列。</w:t>
      </w:r>
    </w:p>
    <w:p>
      <w:pPr>
        <w:overflowPunct w:val="0"/>
        <w:spacing w:line="574" w:lineRule="exact"/>
        <w:ind w:firstLine="640" w:firstLineChars="200"/>
        <w:rPr>
          <w:rFonts w:eastAsia="楷体_GB2312"/>
          <w:bCs/>
          <w:color w:val="000000"/>
          <w:kern w:val="0"/>
          <w:sz w:val="32"/>
          <w:szCs w:val="32"/>
        </w:rPr>
      </w:pPr>
      <w:r>
        <w:rPr>
          <w:rFonts w:eastAsia="楷体_GB2312"/>
          <w:bCs/>
          <w:color w:val="000000"/>
          <w:kern w:val="0"/>
          <w:sz w:val="32"/>
          <w:szCs w:val="32"/>
        </w:rPr>
        <w:t>（二）深入推进科技创新赋能，内生动力加速释放</w:t>
      </w:r>
    </w:p>
    <w:p>
      <w:pPr>
        <w:pStyle w:val="4"/>
        <w:overflowPunct w:val="0"/>
        <w:spacing w:after="0" w:line="574" w:lineRule="exact"/>
        <w:ind w:firstLine="640" w:firstLineChars="200"/>
        <w:rPr>
          <w:rFonts w:eastAsia="仿宋_GB2312"/>
          <w:bCs/>
          <w:color w:val="000000"/>
          <w:sz w:val="32"/>
          <w:szCs w:val="32"/>
        </w:rPr>
      </w:pPr>
      <w:r>
        <w:rPr>
          <w:rFonts w:eastAsia="仿宋_GB2312"/>
          <w:bCs/>
          <w:color w:val="000000"/>
          <w:sz w:val="32"/>
          <w:szCs w:val="32"/>
        </w:rPr>
        <w:t>创新平台加快建设。构建“众创空间+孵化器+加速器”全链条孵化体系，加快推动“三医+AI”科技园、星河World科创城等园区和产业楼宇专业化特色化，全年新增市级创新创业载体5个，引进孵化创新创业项目200个。累计建成创新载体21家（国家级4家、省级8家），总面积220万平方米。生物靶向药物国家工程研究中心和百利药业技术中心等高能级平台加快建设，新增市级以上科技创新平台6个，获得成都市首批概念验证中心和中试平台认定共5家，推动成都中医药大学272台</w:t>
      </w:r>
      <w:r>
        <w:rPr>
          <w:rFonts w:hint="eastAsia" w:eastAsia="仿宋_GB2312"/>
          <w:bCs/>
          <w:color w:val="000000"/>
          <w:sz w:val="32"/>
          <w:szCs w:val="32"/>
        </w:rPr>
        <w:t>（</w:t>
      </w:r>
      <w:r>
        <w:rPr>
          <w:rFonts w:eastAsia="仿宋_GB2312"/>
          <w:bCs/>
          <w:color w:val="000000"/>
          <w:sz w:val="32"/>
          <w:szCs w:val="32"/>
        </w:rPr>
        <w:t>套</w:t>
      </w:r>
      <w:r>
        <w:rPr>
          <w:rFonts w:hint="eastAsia" w:eastAsia="仿宋_GB2312"/>
          <w:bCs/>
          <w:color w:val="000000"/>
          <w:sz w:val="32"/>
          <w:szCs w:val="32"/>
        </w:rPr>
        <w:t>）</w:t>
      </w:r>
      <w:r>
        <w:rPr>
          <w:rFonts w:eastAsia="仿宋_GB2312"/>
          <w:bCs/>
          <w:color w:val="000000"/>
          <w:sz w:val="32"/>
          <w:szCs w:val="32"/>
        </w:rPr>
        <w:t>总值2.14亿元的大型科研仪器设备上线“大型仪器设备共享管控平台”，为道合尔医药、安满生物等区内企业提供测试服务。</w:t>
      </w:r>
    </w:p>
    <w:p>
      <w:pPr>
        <w:pStyle w:val="4"/>
        <w:overflowPunct w:val="0"/>
        <w:spacing w:after="0" w:line="574" w:lineRule="exact"/>
        <w:ind w:firstLine="640" w:firstLineChars="200"/>
        <w:rPr>
          <w:rFonts w:eastAsia="仿宋_GB2312"/>
          <w:bCs/>
          <w:color w:val="000000"/>
          <w:sz w:val="32"/>
          <w:szCs w:val="32"/>
        </w:rPr>
      </w:pPr>
      <w:r>
        <w:rPr>
          <w:rFonts w:eastAsia="仿宋_GB2312"/>
          <w:bCs/>
          <w:color w:val="000000"/>
          <w:sz w:val="32"/>
          <w:szCs w:val="32"/>
        </w:rPr>
        <w:t>创新生态持续优化。实施金温江骄子工程，出台“人才新政10条”，发布温江人才分类目录，建成市级院士（专家）工作站和引才引智基地，引进17个科研团队和20余个高层次人才项目。成都中医药大学首席教授陈士林当选中国工程院院士。要素服务保障优化提质，创设规模为1.5亿元的“科创贷”科技金融产品，构建“政策支持+股权投资+债权融资”的政策金融体系，举办金融对接等活动30场，助力区内企业获得风险投资4.9亿元、“科创贷”4.5亿元。实施“头雁、瞪羚、雏鹰”三大计划，新增国家高新技术企业115家、目标完成率全市排名第3，入库科技型中小企业393家、连续3年实现15%以上增长，入选市级新经济种子企业103家，“四上”企业研发投入达18.87亿元，全市排名第5。</w:t>
      </w:r>
    </w:p>
    <w:p>
      <w:pPr>
        <w:pStyle w:val="4"/>
        <w:overflowPunct w:val="0"/>
        <w:spacing w:after="0" w:line="574" w:lineRule="exact"/>
        <w:ind w:firstLine="640" w:firstLineChars="200"/>
        <w:rPr>
          <w:rFonts w:eastAsia="仿宋_GB2312"/>
          <w:bCs/>
          <w:color w:val="000000"/>
          <w:sz w:val="32"/>
          <w:szCs w:val="32"/>
        </w:rPr>
      </w:pPr>
      <w:r>
        <w:rPr>
          <w:rFonts w:eastAsia="仿宋_GB2312"/>
          <w:bCs/>
          <w:color w:val="000000"/>
          <w:sz w:val="32"/>
          <w:szCs w:val="32"/>
        </w:rPr>
        <w:t>成果转化成效显著。组建成果转化联盟，开发公共服务平台线上系统，持续推动公共技术服务平台跨区域互认，实现平台区域优势互补和资源共享。川农大、中医大纳入成都市重点支持的11个环高校知识经济圈，国家技术转移西南中心温江分中心建成投用，举办成果对接活动24场，推动校企合作20项。全区在研药物器械1136个，在产药物器械397个，全年技术（输出）合同登记</w:t>
      </w:r>
      <w:r>
        <w:rPr>
          <w:rFonts w:hint="eastAsia" w:eastAsia="仿宋_GB2312"/>
          <w:bCs/>
          <w:color w:val="000000"/>
          <w:sz w:val="32"/>
          <w:szCs w:val="32"/>
        </w:rPr>
        <w:t>6</w:t>
      </w:r>
      <w:r>
        <w:rPr>
          <w:rFonts w:eastAsia="仿宋_GB2312"/>
          <w:bCs/>
          <w:color w:val="000000"/>
          <w:sz w:val="32"/>
          <w:szCs w:val="32"/>
        </w:rPr>
        <w:t>1亿，目标完成率全市第1。百利天恒与百时美施贵宝达成84亿美元授权交易，破国产ADC单药出海新纪录。</w:t>
      </w:r>
    </w:p>
    <w:p>
      <w:pPr>
        <w:overflowPunct w:val="0"/>
        <w:spacing w:line="574" w:lineRule="exact"/>
        <w:ind w:firstLine="640" w:firstLineChars="200"/>
        <w:rPr>
          <w:rFonts w:eastAsia="楷体_GB2312"/>
          <w:bCs/>
          <w:color w:val="000000"/>
          <w:kern w:val="0"/>
          <w:sz w:val="32"/>
          <w:szCs w:val="32"/>
        </w:rPr>
      </w:pPr>
      <w:r>
        <w:rPr>
          <w:rFonts w:eastAsia="楷体_GB2312"/>
          <w:bCs/>
          <w:color w:val="000000"/>
          <w:kern w:val="0"/>
          <w:sz w:val="32"/>
          <w:szCs w:val="32"/>
        </w:rPr>
        <w:t>（三）持续深化改革扩大开放，区域活力有效激发</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营商环境建设优化提质。持续提升服务“尺度、速度、温度、力度”，践行“三个都可以”承诺，深入推进包容审慎监管，开出全省首张不予行政处罚决定书，市场环境更加公平公正、包容宽松。坚持“三个要效率”，制定持续优化提升营商环境十大举措，深化“提醒服务”改革，创新“一把手走流程”常态化工作机制，实施联审联批、联合验收，赋予首席质量官“四权六责”引领企业高质量发展案例获评2023年成都市优化营商环境典型案例，“温江效率”成为营商环境最靓丽的名片。召开企业发展大会、外资企业座谈会，全面发布投资机会清单、优化营商环境建设举措和含金量高的新政策，以城市之名致敬优秀企业、优秀企业家和温江工匠，厚植企业发展“沃土”。助企纾困精准发力，全年兑现政策资金约5.26亿元，惠及1200余家</w:t>
      </w:r>
      <w:r>
        <w:rPr>
          <w:rFonts w:hint="eastAsia" w:eastAsia="仿宋_GB2312"/>
          <w:bCs/>
          <w:color w:val="000000"/>
          <w:sz w:val="32"/>
          <w:szCs w:val="32"/>
        </w:rPr>
        <w:t>（</w:t>
      </w:r>
      <w:r>
        <w:rPr>
          <w:rFonts w:eastAsia="仿宋_GB2312"/>
          <w:bCs/>
          <w:color w:val="000000"/>
          <w:sz w:val="32"/>
          <w:szCs w:val="32"/>
        </w:rPr>
        <w:t>次</w:t>
      </w:r>
      <w:r>
        <w:rPr>
          <w:rFonts w:hint="eastAsia" w:eastAsia="仿宋_GB2312"/>
          <w:bCs/>
          <w:color w:val="000000"/>
          <w:sz w:val="32"/>
          <w:szCs w:val="32"/>
        </w:rPr>
        <w:t>）</w:t>
      </w:r>
      <w:r>
        <w:rPr>
          <w:rFonts w:eastAsia="仿宋_GB2312"/>
          <w:bCs/>
          <w:color w:val="000000"/>
          <w:sz w:val="32"/>
          <w:szCs w:val="32"/>
        </w:rPr>
        <w:t>。新增经营主体1.64万余户。</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重点领域改革纵深推进。启动新一轮国企改革深化提升行动，按照“主业+区域”的原则优化国有资本布局，与中电光谷、中建新疆等中央省市国企合作实现新突破，区属国企资产规模增至2500亿元，同比增长12.2%。自贸协同改革先行区加快建设，“关地协同”“提醒服务”“异地评标”3项创新成果获批在全省复制推广，连续三年在全省先行区年度考核排名前列并获四川自贸试验区建设工作先进集体。取得全省首张普及型引种试种苗圃资质，温江成为目前全国唯一拥有花木进出口陆海空物流大通道的地区，积极争创内陆地区首个“四港合一”的“区港口岸物流一体化”示范区。外商直接投资（FDI）1.5亿美元。建立健全以产出为导向的土地利用机制，已处置批而未供土地6394亩。探索农村产权抵押融资金融服务闭环机制经验在全市推广，持续壮大农村集体经济，构建乡村联合体经验做法写入2023年市委农村工作要点。</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对外开放合作有效增强。与重庆巴南区共建共享生物医药产业GCP临床试验中心、种苗科技园，合作共建“泉心泉意”供应链，药明康德等7家研发外包平台服务两地企业106家，5个动物试验平台供应两地动物模型30余万只，4个临床试验中心开展项目97个，助力180家企业试剂、耗材快速通关；10家物流机构帮助200多家企业实现快速药械供应。与广州市南沙区签订协议共建温江湾区创新服务中心，打造首个“融湾入圈”创新协同示范基地，完成招商面积1.8万平方米。与德阳中江、眉山仁寿等地开展人力资源合作，互发岗位供求信息14次，提供岗位超2000个。高标准编制清水河高新技术产业走廊“一带九岛十片”总体规划和“一环三带、两心五组团”城市设计，统筹建设教育、卫生、文体、社区、交通5大领域基本功能扩容下沉项目26个。</w:t>
      </w:r>
    </w:p>
    <w:p>
      <w:pPr>
        <w:pStyle w:val="4"/>
        <w:overflowPunct w:val="0"/>
        <w:spacing w:after="0" w:line="574" w:lineRule="exact"/>
        <w:ind w:firstLine="640"/>
        <w:rPr>
          <w:rFonts w:eastAsia="楷体_GB2312"/>
          <w:bCs/>
          <w:color w:val="000000"/>
          <w:kern w:val="0"/>
          <w:sz w:val="32"/>
          <w:szCs w:val="32"/>
        </w:rPr>
      </w:pPr>
      <w:r>
        <w:rPr>
          <w:rFonts w:eastAsia="楷体_GB2312"/>
          <w:bCs/>
          <w:color w:val="000000"/>
          <w:kern w:val="0"/>
          <w:sz w:val="32"/>
          <w:szCs w:val="32"/>
        </w:rPr>
        <w:t>（四）扎实推进绿色低碳转型，环境品质彰显提升</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四大结构”优化调整扎实推进。完成全区法定控规评估，划定30个详规编制单元，编制完成13个村级片区国土空间规划阶段性成果，市级部门备案2个未来公园社区城市设计。印发《成都市温江区2023年近零碳园区、企业、社区创建工作实施方案》，打造绿色工厂5家，成都医学城被确定为成都市近零碳排放园区试点。地铁19号线二期贯通运营，实现快速直达双流国际机场、天府国际机场。提升改造骑士大道、金府路等道路3条，锦绣大道南段、田园大道等8个交通项目建成通车，</w:t>
      </w:r>
      <w:r>
        <w:rPr>
          <w:rFonts w:hint="eastAsia" w:eastAsia="仿宋_GB2312"/>
          <w:bCs/>
          <w:color w:val="000000"/>
          <w:sz w:val="32"/>
          <w:szCs w:val="32"/>
          <w:lang w:val="en-US" w:eastAsia="zh-CN"/>
        </w:rPr>
        <w:t>推进</w:t>
      </w:r>
      <w:r>
        <w:rPr>
          <w:rFonts w:hint="eastAsia" w:eastAsia="仿宋_GB2312"/>
          <w:bCs/>
          <w:color w:val="000000"/>
          <w:sz w:val="32"/>
          <w:szCs w:val="32"/>
        </w:rPr>
        <w:t>成名高速沿线防护绿地</w:t>
      </w:r>
      <w:r>
        <w:rPr>
          <w:rFonts w:hint="eastAsia" w:eastAsia="仿宋_GB2312"/>
          <w:bCs/>
          <w:color w:val="000000"/>
          <w:sz w:val="32"/>
          <w:szCs w:val="32"/>
          <w:lang w:val="en-US" w:eastAsia="zh-CN"/>
        </w:rPr>
        <w:t>项目建设</w:t>
      </w:r>
      <w:r>
        <w:rPr>
          <w:rFonts w:hint="eastAsia" w:eastAsia="仿宋_GB2312"/>
          <w:bCs/>
          <w:color w:val="000000"/>
          <w:sz w:val="32"/>
          <w:szCs w:val="32"/>
          <w:lang w:eastAsia="zh-CN"/>
        </w:rPr>
        <w:t>，</w:t>
      </w:r>
      <w:r>
        <w:rPr>
          <w:rFonts w:eastAsia="仿宋_GB2312"/>
          <w:bCs/>
          <w:color w:val="000000"/>
          <w:sz w:val="32"/>
          <w:szCs w:val="32"/>
        </w:rPr>
        <w:t>新开、优化常规公交线路9条，新能源汽车保有量超15000辆。深度参与“碳惠天府”行动，新建充电站17座、充电桩3800个，清洁能源消费占比高于85%。</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公园城市形态加速塑造。新增绿地111公顷、立体绿化8200平方米，打造金角银边14个。新建温泉大道等绿道和慢行系统36公里，提升改造石牛巷等50条社区绿道。增设天府绿道健身空间10处。完成江安河水韵华章段等6.7公里蓝网建设，新建市政供水主干管1.5公里、排水管网6.7公里。全面推进文庙、</w:t>
      </w:r>
      <w:r>
        <w:rPr>
          <w:rFonts w:eastAsia="仿宋_GB2312"/>
          <w:bCs/>
          <w:color w:val="000000"/>
          <w:sz w:val="32"/>
          <w:szCs w:val="32"/>
          <w:lang w:val="zh-TW" w:eastAsia="zh-TW"/>
        </w:rPr>
        <w:t>战备渠等</w:t>
      </w:r>
      <w:r>
        <w:rPr>
          <w:rFonts w:eastAsia="仿宋_GB2312"/>
          <w:bCs/>
          <w:color w:val="000000"/>
          <w:sz w:val="32"/>
          <w:szCs w:val="32"/>
        </w:rPr>
        <w:t>9大重点片区有机更新，改造老旧小区20个、城中村304户，“幸福光华”获评全市首批“最美街区”。开展农村人居环境品质提升百日攻坚行动，改建农村卫生厕所255户，累计清理农村生活垃圾约1万吨、沟渠2千公里、院落176个，推动村庄持续美化、净化、亮化。万春镇获评四川十大魅力乡镇。</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三大保卫战成效显著。深化西部区域大气联防联控，空气质量优良天数279天，同比增加12天。</w:t>
      </w:r>
      <w:r>
        <w:rPr>
          <w:rFonts w:eastAsia="仿宋_GB2312"/>
          <w:bCs/>
          <w:color w:val="000000"/>
          <w:sz w:val="32"/>
          <w:szCs w:val="32"/>
          <w:lang w:val="zh-TW" w:eastAsia="zh-TW"/>
        </w:rPr>
        <w:t>全面落实河（湖）长制</w:t>
      </w:r>
      <w:r>
        <w:rPr>
          <w:rFonts w:eastAsia="仿宋_GB2312"/>
          <w:bCs/>
          <w:color w:val="000000"/>
          <w:sz w:val="32"/>
          <w:szCs w:val="32"/>
        </w:rPr>
        <w:t>，3个省市考核断面达Ⅱ类水质标准，集中式饮用水水源地保护区水质达标率100%。积极推进“无废城市”建设，生活垃圾“21天分类工作法”在全省推广，生活垃圾资源化利用率达82%，土壤环境质量总体稳定，全区受污染地块安全利用率100%。持续推动央督、省督及长江经济带生态环境问题整改，完成率达98.9%。</w:t>
      </w:r>
    </w:p>
    <w:p>
      <w:pPr>
        <w:overflowPunct w:val="0"/>
        <w:spacing w:line="574" w:lineRule="exact"/>
        <w:ind w:firstLine="640" w:firstLineChars="200"/>
        <w:rPr>
          <w:rFonts w:eastAsia="楷体_GB2312"/>
          <w:bCs/>
          <w:color w:val="000000"/>
          <w:kern w:val="0"/>
          <w:sz w:val="32"/>
          <w:szCs w:val="32"/>
        </w:rPr>
      </w:pPr>
      <w:r>
        <w:rPr>
          <w:rFonts w:eastAsia="楷体_GB2312"/>
          <w:bCs/>
          <w:color w:val="000000"/>
          <w:kern w:val="0"/>
          <w:sz w:val="32"/>
          <w:szCs w:val="32"/>
        </w:rPr>
        <w:t>（五）全面推进社会事业发展，民生福祉不断增进</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社会保障更加充分。深入实施就业优先战略，城镇新增就业7484人，城镇调查失业率稳定在5.5%以内。城镇职工基本养老保险、城乡居民养老保险参保目标完成率均超100%。实施“药械集采扩面扩围”计划，节约就医支出6.8亿元。出台“一老一小”解决方案，完善特殊群体救助体系，新增养老服务综合体1个、社区食堂8个，全区托位达4259个，符合条件特困人员集中供养率达100%，深入推进“牵手福蓉·双百双千”助残活动，柳城街道南街社区获评全国老年友好型社区。“四新”赋能推进新时代慈善事业高质量发展案例获省政府通报表扬。完成三医三期保障性租赁住房配租1.2万平方米，竣工水沐怡境三期优居房项目，交付人才公寓15万平方米，完成多元化安置1076人。</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公服供给更加均衡多元。</w:t>
      </w:r>
      <w:r>
        <w:rPr>
          <w:rFonts w:eastAsia="仿宋_GB2312"/>
          <w:bCs/>
          <w:color w:val="000000"/>
          <w:sz w:val="32"/>
          <w:szCs w:val="32"/>
          <w:lang w:val="zh-TW" w:eastAsia="zh-TW"/>
        </w:rPr>
        <w:t>引入成都七中、川师大等名校领办中小学，新（改、扩）建科技园高中、杨柳河小学等学校8所，新增学位约1.5万个。持续深化</w:t>
      </w:r>
      <w:r>
        <w:rPr>
          <w:rFonts w:eastAsia="仿宋_GB2312"/>
          <w:bCs/>
          <w:color w:val="000000"/>
          <w:sz w:val="32"/>
          <w:szCs w:val="32"/>
          <w:lang w:val="zh-TW"/>
        </w:rPr>
        <w:t>“</w:t>
      </w:r>
      <w:r>
        <w:rPr>
          <w:rFonts w:eastAsia="仿宋_GB2312"/>
          <w:bCs/>
          <w:color w:val="000000"/>
          <w:sz w:val="32"/>
          <w:szCs w:val="32"/>
          <w:lang w:val="zh-TW" w:eastAsia="zh-TW"/>
        </w:rPr>
        <w:t>体教融合</w:t>
      </w:r>
      <w:r>
        <w:rPr>
          <w:rFonts w:eastAsia="仿宋_GB2312"/>
          <w:bCs/>
          <w:color w:val="000000"/>
          <w:sz w:val="32"/>
          <w:szCs w:val="32"/>
          <w:lang w:val="zh-TW"/>
        </w:rPr>
        <w:t>”</w:t>
      </w:r>
      <w:r>
        <w:rPr>
          <w:rFonts w:eastAsia="仿宋_GB2312"/>
          <w:bCs/>
          <w:color w:val="000000"/>
          <w:sz w:val="32"/>
          <w:szCs w:val="32"/>
          <w:lang w:val="zh-TW" w:eastAsia="zh-TW"/>
        </w:rPr>
        <w:t>，完成10所学校</w:t>
      </w:r>
      <w:r>
        <w:rPr>
          <w:rFonts w:eastAsia="仿宋_GB2312"/>
          <w:bCs/>
          <w:color w:val="000000"/>
          <w:sz w:val="32"/>
          <w:szCs w:val="32"/>
          <w:lang w:val="zh-TW"/>
        </w:rPr>
        <w:t>“</w:t>
      </w:r>
      <w:r>
        <w:rPr>
          <w:rFonts w:eastAsia="仿宋_GB2312"/>
          <w:bCs/>
          <w:color w:val="000000"/>
          <w:sz w:val="32"/>
          <w:szCs w:val="32"/>
          <w:lang w:val="zh-TW" w:eastAsia="zh-TW"/>
        </w:rPr>
        <w:t>一场双门</w:t>
      </w:r>
      <w:r>
        <w:rPr>
          <w:rFonts w:eastAsia="仿宋_GB2312"/>
          <w:bCs/>
          <w:color w:val="000000"/>
          <w:sz w:val="32"/>
          <w:szCs w:val="32"/>
          <w:lang w:val="zh-TW"/>
        </w:rPr>
        <w:t>”</w:t>
      </w:r>
      <w:r>
        <w:rPr>
          <w:rFonts w:eastAsia="仿宋_GB2312"/>
          <w:bCs/>
          <w:color w:val="000000"/>
          <w:sz w:val="32"/>
          <w:szCs w:val="32"/>
          <w:lang w:val="zh-TW" w:eastAsia="zh-TW"/>
        </w:rPr>
        <w:t>开放。</w:t>
      </w:r>
      <w:r>
        <w:rPr>
          <w:rFonts w:eastAsia="仿宋_GB2312"/>
          <w:bCs/>
          <w:color w:val="000000"/>
          <w:sz w:val="32"/>
          <w:szCs w:val="32"/>
        </w:rPr>
        <w:t>市五医院光华院区等3个项目开工建设</w:t>
      </w:r>
      <w:r>
        <w:rPr>
          <w:rFonts w:eastAsia="仿宋_GB2312"/>
          <w:bCs/>
          <w:color w:val="000000"/>
          <w:sz w:val="32"/>
          <w:szCs w:val="32"/>
          <w:lang w:val="zh-TW" w:eastAsia="zh-TW"/>
        </w:rPr>
        <w:t>，新增床位1580张</w:t>
      </w:r>
      <w:r>
        <w:rPr>
          <w:rFonts w:eastAsia="仿宋_GB2312"/>
          <w:bCs/>
          <w:color w:val="000000"/>
          <w:sz w:val="32"/>
          <w:szCs w:val="32"/>
          <w:lang w:val="zh-TW"/>
        </w:rPr>
        <w:t>。</w:t>
      </w:r>
      <w:r>
        <w:rPr>
          <w:rFonts w:eastAsia="仿宋_GB2312"/>
          <w:bCs/>
          <w:color w:val="000000"/>
          <w:sz w:val="32"/>
          <w:szCs w:val="32"/>
        </w:rPr>
        <w:t>升级打造医保公共服务站（点）19个，成功创建省级慢性病综合防控示范区。举办U15暨U17亚青羽赛、CBA等顶级赛事，金强国际赛事中心开赛运营，打造留灯书屋26座，开展各类文体惠民活动4000余场，温江区社区文化节等6个项目入围四川省2023年文旅公共服务高质量发展“四个一批”项目。全域构建货车司机之家、外卖小哥城市驿站服务场景，新建服务点119个。</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城市安全韧性持续提升。坚决遏制耕地“非农化”、永久基本农田“非粮化”，全年粮食产量1.1万吨，高标准农田建设5000亩，有序腾退低效残次苗木恢复种粮2400亩，获评耕地保护党政同责先进单位。能源安全不断巩固，110千伏光明输变电工程等3个项目开工建设，成都西配套220千伏线路工程6个项目投运投用。改造25.3公里燃气老旧管道，新建燃气管道19.02公里，完成5.1公里农村天然气配套工程管道建设。深入开展安全生产和城市运行隐患排查，整治一批道路交通、城镇燃气、消防安全、建筑施工等重点领域隐患问题，安全事故率下降14.3%。开展基层平安创建活动，2个镇（街道）、5个村（社区）获省市授牌表扬，命名表扬42个区级“平安校园”、16个区级“平安医院”、25个区级“平安小区”。完善矛盾纠纷多元化解体系，用好“枫桥经验”，发挥“王嬢热线”等省市示范调解室引领作用，实现调解成功率达98.2%。</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城市治理水平创新提升。扎实推进城市运行“一网统管”、政务服务“一网通办”、数据资源“一网通享”、社会诉求“一键回应”。深入落实智慧蓉城“王”字型构架，“三级平台、五级应用”全线贯通，新增2800个智慧感知源，打造城市内涝、三员合一等智慧场景13个，在全市率先开展“飙车炸街”综合治理。深化小区治理三年攻坚行动，开展配齐小区八件、推行公益积分等10项具体任务，构建和谐邻里关系共同体。深化“微网实格”治理，推进机关企事业单位党员、家庭医生等群体“进网入格”，促进“和谐邻里情”可感可及。构建“亲邻家园”社区合伙人机制，签约合伙团队80余个、合伙人200余人。成立社区发展基金会，培育社区社会企业13家。深入推进法治温江建设，切实提升执法司法质效和公信力，增强市场主体法治获得感。构建志愿服务社会化体系，全区注册志愿者超11.8万人，获批全省大学生志愿服务西部计划项目服务区。开展“感恩·温江”十大人物评选，全力凝聚“和谐邻里情·温江一家亲”城市向心力。</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我们始终把落实区人大及其常委会决议和审议意见作为依法履职尽责的重大责任、重要任务，主动接受监督指导，高质量回应人大代表建议、政协委员提案，切实将代表、委员的真知灼见吸收转化为做好改革发展稳定工作的实招硬招，千方百计解决就业、教育、养老托育、医疗、住房等人民群众密切关注的问题，多渠道解决就业、保障居民增收，统筹解决产业转型、科技创新、生态环境保护等事关发展全局的重点问题，确保社会大局平安稳定，努力做到让代表、委员满意、让人民群众受益，办结人大代表建议批评意见231件、政协委员提案199件，切实做到件件有落实、事事有回音。</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刚刚过去的2023年，全区上下聚焦高质量发展首要任务，全力以赴拼经济、搞建设，推动全区经济发展呈现恢复回升的态势，为谱写中国式现代化万千气象的成都篇章贡献了温江力量。这些成绩的取得根本在于习近平总书记作为党中央的核心、全党的核心掌舵领航，根本在于习近平新时代中国特色社会主义思想的科学指引，是党中央国务院坚强领导的结果，是省委省政府、市委市政府高度重视、亲切关怀的结果，是区委总揽全局、科学决策的结果，是区人大和区政协监督指导、大力支持的结果，更是全区广大干部群众齐心协力、众志成城的结果。</w:t>
      </w:r>
    </w:p>
    <w:p>
      <w:pPr>
        <w:overflowPunct w:val="0"/>
        <w:spacing w:line="574" w:lineRule="exact"/>
        <w:ind w:firstLine="640" w:firstLineChars="200"/>
        <w:rPr>
          <w:rFonts w:eastAsia="仿宋_GB2312"/>
          <w:bCs/>
          <w:color w:val="000000"/>
          <w:sz w:val="32"/>
          <w:szCs w:val="32"/>
        </w:rPr>
      </w:pPr>
      <w:r>
        <w:rPr>
          <w:rFonts w:eastAsia="仿宋_GB2312"/>
          <w:bCs/>
          <w:color w:val="000000"/>
          <w:sz w:val="32"/>
          <w:szCs w:val="32"/>
        </w:rPr>
        <w:t>同时，我们也清醒地认识到，当前我区经济社会发展还存在一些不容忽视的问题，主要表现在：科教资源富集的优势发挥还不够充分，</w:t>
      </w:r>
      <w:r>
        <w:rPr>
          <w:rFonts w:eastAsia="仿宋_GB2312"/>
          <w:bCs/>
          <w:color w:val="000000"/>
          <w:sz w:val="32"/>
          <w:szCs w:val="32"/>
          <w:lang w:val="zh-TW"/>
        </w:rPr>
        <w:t>创新策源能力和科技成果转化有待加强；</w:t>
      </w:r>
      <w:r>
        <w:rPr>
          <w:rFonts w:eastAsia="仿宋_GB2312"/>
          <w:bCs/>
          <w:color w:val="000000"/>
          <w:sz w:val="32"/>
          <w:szCs w:val="32"/>
          <w:lang w:val="zh-TW" w:eastAsia="zh-TW"/>
        </w:rPr>
        <w:t>提升产业质效推动</w:t>
      </w:r>
      <w:r>
        <w:rPr>
          <w:rFonts w:eastAsia="仿宋_GB2312"/>
          <w:bCs/>
          <w:color w:val="000000"/>
          <w:sz w:val="32"/>
          <w:szCs w:val="32"/>
          <w:lang w:val="zh-TW"/>
        </w:rPr>
        <w:t>经济</w:t>
      </w:r>
      <w:r>
        <w:rPr>
          <w:rFonts w:eastAsia="仿宋_GB2312"/>
          <w:bCs/>
          <w:color w:val="000000"/>
          <w:sz w:val="32"/>
          <w:szCs w:val="32"/>
          <w:lang w:val="zh-TW" w:eastAsia="zh-TW"/>
        </w:rPr>
        <w:t>高质量发展</w:t>
      </w:r>
      <w:r>
        <w:rPr>
          <w:rFonts w:eastAsia="仿宋_GB2312"/>
          <w:bCs/>
          <w:color w:val="000000"/>
          <w:sz w:val="32"/>
          <w:szCs w:val="32"/>
          <w:lang w:val="zh-TW"/>
        </w:rPr>
        <w:t>仍需</w:t>
      </w:r>
      <w:r>
        <w:rPr>
          <w:rFonts w:eastAsia="仿宋_GB2312"/>
          <w:bCs/>
          <w:color w:val="000000"/>
          <w:sz w:val="32"/>
          <w:szCs w:val="32"/>
        </w:rPr>
        <w:t>加力加劲</w:t>
      </w:r>
      <w:r>
        <w:rPr>
          <w:rFonts w:eastAsia="仿宋_GB2312"/>
          <w:bCs/>
          <w:color w:val="000000"/>
          <w:sz w:val="32"/>
          <w:szCs w:val="32"/>
          <w:lang w:val="zh-TW"/>
        </w:rPr>
        <w:t>；公共服务供给不够</w:t>
      </w:r>
      <w:r>
        <w:rPr>
          <w:rFonts w:eastAsia="仿宋_GB2312"/>
          <w:bCs/>
          <w:color w:val="000000"/>
          <w:sz w:val="32"/>
          <w:szCs w:val="32"/>
        </w:rPr>
        <w:t>精准</w:t>
      </w:r>
      <w:r>
        <w:rPr>
          <w:rFonts w:eastAsia="仿宋_GB2312"/>
          <w:bCs/>
          <w:color w:val="000000"/>
          <w:sz w:val="32"/>
          <w:szCs w:val="32"/>
          <w:lang w:val="zh-TW"/>
        </w:rPr>
        <w:t>、民生保障体系</w:t>
      </w:r>
      <w:r>
        <w:rPr>
          <w:rFonts w:eastAsia="仿宋_GB2312"/>
          <w:bCs/>
          <w:color w:val="000000"/>
          <w:sz w:val="32"/>
          <w:szCs w:val="32"/>
        </w:rPr>
        <w:t>还</w:t>
      </w:r>
      <w:r>
        <w:rPr>
          <w:rFonts w:eastAsia="仿宋_GB2312"/>
          <w:bCs/>
          <w:color w:val="000000"/>
          <w:sz w:val="32"/>
          <w:szCs w:val="32"/>
          <w:lang w:val="zh-TW"/>
        </w:rPr>
        <w:t>不够完善；智慧治理能力和安全发展水平有待</w:t>
      </w:r>
      <w:r>
        <w:rPr>
          <w:rFonts w:eastAsia="仿宋_GB2312"/>
          <w:bCs/>
          <w:color w:val="000000"/>
          <w:sz w:val="32"/>
          <w:szCs w:val="32"/>
        </w:rPr>
        <w:t>进一步</w:t>
      </w:r>
      <w:r>
        <w:rPr>
          <w:rFonts w:eastAsia="仿宋_GB2312"/>
          <w:bCs/>
          <w:color w:val="000000"/>
          <w:sz w:val="32"/>
          <w:szCs w:val="32"/>
          <w:lang w:val="zh-TW"/>
        </w:rPr>
        <w:t>提升。</w:t>
      </w:r>
      <w:r>
        <w:rPr>
          <w:rFonts w:eastAsia="仿宋_GB2312"/>
          <w:bCs/>
          <w:color w:val="000000"/>
          <w:sz w:val="32"/>
          <w:szCs w:val="32"/>
        </w:rPr>
        <w:t>对此，我们将采取有效措施，认真予以解决。</w:t>
      </w:r>
    </w:p>
    <w:p>
      <w:pPr>
        <w:overflowPunct w:val="0"/>
        <w:spacing w:line="574" w:lineRule="exact"/>
        <w:ind w:firstLine="640" w:firstLineChars="200"/>
        <w:rPr>
          <w:rFonts w:eastAsia="黑体"/>
          <w:snapToGrid w:val="0"/>
          <w:color w:val="000000"/>
          <w:sz w:val="32"/>
          <w:szCs w:val="32"/>
        </w:rPr>
      </w:pPr>
      <w:r>
        <w:rPr>
          <w:rFonts w:eastAsia="黑体"/>
          <w:snapToGrid w:val="0"/>
          <w:color w:val="000000"/>
          <w:sz w:val="32"/>
          <w:szCs w:val="32"/>
        </w:rPr>
        <w:t>二、2024年国民经济和社会发展总体要求和主要预期目标</w:t>
      </w:r>
    </w:p>
    <w:p>
      <w:pPr>
        <w:overflowPunct w:val="0"/>
        <w:spacing w:line="574" w:lineRule="exact"/>
        <w:ind w:firstLine="640" w:firstLineChars="200"/>
        <w:rPr>
          <w:rFonts w:eastAsia="仿宋_GB2312"/>
          <w:bCs/>
          <w:color w:val="000000"/>
          <w:sz w:val="32"/>
          <w:szCs w:val="32"/>
          <w:lang w:val="zh-TW"/>
        </w:rPr>
      </w:pPr>
      <w:r>
        <w:rPr>
          <w:rFonts w:eastAsia="楷体_GB2312"/>
          <w:snapToGrid w:val="0"/>
          <w:color w:val="000000"/>
          <w:kern w:val="0"/>
          <w:sz w:val="32"/>
          <w:szCs w:val="32"/>
        </w:rPr>
        <w:t>（一）总体要求。</w:t>
      </w:r>
      <w:r>
        <w:rPr>
          <w:rFonts w:eastAsia="仿宋_GB2312"/>
          <w:bCs/>
          <w:color w:val="000000"/>
          <w:sz w:val="32"/>
          <w:szCs w:val="32"/>
          <w:lang w:val="zh-TW"/>
        </w:rPr>
        <w:t>2024年是新中国成立75周年，是加快实施“十四五”规划的关键之年。全区经济社会发展的总体要求是：坚定以习近平新时代中国特色社会主义思想为指导，深入贯彻党的二十大和习近平总书记对四川工作系列重要指示精神，全面落实中央、省委、市委经济工作会议决策部署，牢牢把握“五个必须”重要要求和“三个统筹”重要原则，坚持稳中求进、以进促稳、先立后破，完整、准确、全面贯彻新发展理念，积极融入和服务新发展格局，着力推动高质量发展，深入落实以成渝地区双城经济圈建设为总牵引重要部署和“四化同步、城乡融合、五区共兴”发展战略，加快建设践行新发展理念的公园城市示范先行区，扎实推进“三个做优做强”“四大结构”优化调整、产业建圈强链、重大项目建设、创新策源转化、城乡融合发展、智慧蓉城建设等重点领域攻坚突破，锚定“幸福温江·美好之城”目标愿景，聚力“三个之区”建设，坚持创新引领，加快构建以实体经济为支撑的“3+6”现代化产业体系，全面提升城乡功能品质，推动经济实现质的有效提升和量的合理增长，为奋力谱写中国式现代化万千气象的成都篇章贡献温江力量。</w:t>
      </w:r>
    </w:p>
    <w:p>
      <w:pPr>
        <w:overflowPunct w:val="0"/>
        <w:spacing w:line="574" w:lineRule="exact"/>
        <w:ind w:firstLine="640" w:firstLineChars="200"/>
        <w:rPr>
          <w:rFonts w:eastAsia="仿宋_GB2312"/>
          <w:bCs/>
          <w:color w:val="000000"/>
          <w:sz w:val="32"/>
          <w:szCs w:val="32"/>
          <w:lang w:val="zh-TW"/>
        </w:rPr>
      </w:pPr>
      <w:r>
        <w:rPr>
          <w:rFonts w:eastAsia="楷体_GB2312"/>
          <w:snapToGrid w:val="0"/>
          <w:color w:val="000000"/>
          <w:kern w:val="0"/>
          <w:sz w:val="32"/>
          <w:szCs w:val="32"/>
        </w:rPr>
        <w:t>（二）主要预期目标。</w:t>
      </w:r>
      <w:r>
        <w:rPr>
          <w:rFonts w:eastAsia="仿宋_GB2312"/>
          <w:bCs/>
          <w:color w:val="000000"/>
          <w:sz w:val="32"/>
          <w:szCs w:val="32"/>
          <w:lang w:val="zh-TW"/>
        </w:rPr>
        <w:t>根据总体要求，立足当前、着眼长远，深入研判国内外形势变化、宏观政策取向和经济发展规律，综合分析我区经济发展基础和潜力，加强与“十四五”规划目标相衔接，保持经济运行在合理区间，紧紧围绕“3+6”现代化产业体系构建和城乡融合发展，设置经济发展、创新驱动、扩大开放、绿色生态、民生福祉5类21项发展指标（详见附件），其中：地区生产总值增长6%左右，一、二、三产业增加值分别增长1.5%、5.8%、6.8%；规上工业增加值增长6%；固定资产投资增长7%以上；社会消费品零售总额增长7.5%；地方一般公共预算收入增长5%；“四上”企业研发经费投入增长8%，城乡居民人均可支配收入增长与经济增长基本同步，常住人口城镇化率达79.2%，城镇调查失业率控制在5.5%以内，居民消费价格指数控制在103以内，空气质量优良天数比例不低于290天。做好第五次全国经济普查，启动“十五五”规划前期研究。</w:t>
      </w:r>
    </w:p>
    <w:p>
      <w:pPr>
        <w:overflowPunct w:val="0"/>
        <w:spacing w:line="574" w:lineRule="exact"/>
        <w:ind w:firstLine="640" w:firstLineChars="200"/>
        <w:rPr>
          <w:rFonts w:eastAsia="黑体"/>
          <w:snapToGrid w:val="0"/>
          <w:color w:val="000000"/>
          <w:sz w:val="32"/>
          <w:szCs w:val="32"/>
        </w:rPr>
      </w:pPr>
      <w:r>
        <w:rPr>
          <w:rFonts w:eastAsia="黑体"/>
          <w:snapToGrid w:val="0"/>
          <w:color w:val="000000"/>
          <w:sz w:val="32"/>
          <w:szCs w:val="32"/>
        </w:rPr>
        <w:t>三、2024年国民经济和社会发展主要任务和措施</w:t>
      </w:r>
    </w:p>
    <w:p>
      <w:pPr>
        <w:overflowPunct w:val="0"/>
        <w:spacing w:line="574" w:lineRule="exact"/>
        <w:ind w:firstLine="640" w:firstLineChars="200"/>
        <w:rPr>
          <w:rFonts w:eastAsia="方正楷体简体"/>
          <w:snapToGrid w:val="0"/>
          <w:color w:val="000000"/>
          <w:kern w:val="0"/>
          <w:sz w:val="32"/>
          <w:szCs w:val="32"/>
        </w:rPr>
      </w:pPr>
      <w:r>
        <w:rPr>
          <w:rFonts w:eastAsia="方正楷体简体"/>
          <w:snapToGrid w:val="0"/>
          <w:color w:val="000000"/>
          <w:kern w:val="0"/>
          <w:sz w:val="32"/>
          <w:szCs w:val="32"/>
        </w:rPr>
        <w:t>（一）精准发力加快建设“3+6”现代化产业体系</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推动产业链强链补链延链，突出新型工业化，落实制造强市建设“一号工程”，加快构建功能完善的优质高效服务业体系，积极创建国家农业高新技术产业示范区，坚持“八个一”工作思路，筑强高质量发展根基。</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1．聚优培强地标产业</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推动医药健康产业扩产提能。全力打造西部医疗中心，力争创建国家药品/医疗器械审评西部分中心。围绕药明康德、药明生物加快实现CXO全布局。夯实生物创新药领先地位，全力推动百利特异性抗体等在研品种进入临床试验，科伦博泰ADC、景泽生物类似药等5个重磅品种上市。加速核医药、高端医疗器械产业集聚成势，促进通瑞生物、远大医药、东方基因等15个项目多投快建。依托泰康之家、乐龄荟等聚集优势大力发展银发经济，打造“一节、一会、一园区、一基金”，加快形成以老年产品、保健食品为支撑，老年关爱、特色康复相结合的产业格局。加快发展医疗医美，依托爱博睿美、奇璞生物等医美研发及生产企业，重点发展再生医美、注射填充等细分领域。力争招引重大产业化项目6个、产业链上下游配套项目30个，净增规上企业5家，医药健康产业营收增长20%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推动绿色食品产业做强做大。鼓励以中央厨房模式推动复合调味料制造工艺升级，营造“调味料温江造”品牌，争取打造预制菜产业创新中心。推动康师傅、青岛啤酒等存量链主企业增量扩能，加强圣恩、扬名等“准链主”企业培育。联合川农大、中医大、省食品发酵院，推进科技成果转化和新产品研发推广。加快建设丰树国际、五芳斋、伊莱福等项目</w:t>
      </w:r>
      <w:r>
        <w:rPr>
          <w:rFonts w:hint="eastAsia" w:eastAsia="仿宋_GB2312"/>
          <w:bCs/>
          <w:color w:val="000000"/>
          <w:sz w:val="32"/>
          <w:szCs w:val="32"/>
          <w:lang w:val="en-US" w:eastAsia="zh-CN"/>
        </w:rPr>
        <w:t>7</w:t>
      </w:r>
      <w:r>
        <w:rPr>
          <w:rFonts w:eastAsia="仿宋_GB2312"/>
          <w:bCs/>
          <w:color w:val="000000"/>
          <w:sz w:val="32"/>
          <w:szCs w:val="32"/>
          <w:lang w:val="zh-TW"/>
        </w:rPr>
        <w:t>个。力争招引重大产业化项目2个，新增高能级总部企业1家，净增规上企业2家，绿色食品规上产值增长10%以上。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推动现代都市农业做精做特。树立大农业观、大食物观，加快打造“天府粮仓”科技创新策源地。全面投运农高创新中心一期，竣工四川农业大学现代农业科技创新研究中心，加快建设农高创新中心二期、植物工厂等项目5个。联合高校院所、种业企业开展育种育苗科技攻关，育成具有自主知识产权的新品种5个以上。提升打造稻菜现代农业园区和万春、永宁2个粮经复合产业园区，推广“稻香杯”“鱼凫杯”等高附加值粮经作物，做精温江大蒜等土特产文章。支持成都花木交易所推进“菜篮子”平台建设及“蓉e花木”平台升级，拓展供应链贸易业务，精心策办2024年成都世界园艺博览会温江分会场活动。力争招引重大产业化项目2个，引育种业头部企业、涉农高新技术企业2家以上，净增规上企业3家。</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2．集聚成势重点产业和未来产业</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提能发展装备制造产业。推动装备制造产业深度融入全市产业圈链，争取我区表面处理循环经济产业通过省级电镀集中区审批。建成投运四川航天伺服制造基地、泰格尔碳纤维材料生产基地等4个重点项目。全力保障蓝海智能、海科机械等企业扩产用地需求，推动新材料和表面处理产业聚集成势。力争招引重大产业化项目2个，净增规上企业5家，装备制造产业产值增长5%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提速发展电子信息产业。加快打造1个全市特色产业链（智能终端）和3个全市生态圈重要配套（新型显示、电子元件、智能传感器）的“1+3”电子信息产业体系。引导中星电子、楷模电子等布局新领域新产品，量身定制领航未来、水月雨科技等重点企业成长方案，推动瑞虎电子等企业增资扩产。瞄准13家链主企业、27家领军企业制定招商计划，深挖电子科大校友会资源，力争招引重大产业化项目2个、其他项目10个以上，净增规上企业2家，规上电子信息产业产值增长20%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提质发展印务轻纺产业。引导成钞等重点企业积极争取总部更多的产能分配和订单份额，支持中钞长城开展精深加工、开发定制化文创产品，支持恒丰纸业等龙头包装企业通过兼并重组等方式盘活低效企业，鼓励金桥包装等传统印务企业“工业上楼”。融合发展先进纺织制品、创意服装设计等服务型制造业，发挥雷迪波尔国家级工业设计中心优势，引育一批高端轻纺总部，加快建设金桥包装等4个项目。力争招引重大产业化项目2个，净增规上企业1家，印务轻纺产业营收增长15%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提档发展现代商务产业。坚持纵向筑势、横向赋能，持续推进“两河一心”国际消费中心城市生态活力区建设，积极融入成都市服务业扩大开放综合试点，持续推进“4+35”项任务落地，构建“1+7+1”全景产业体系，培育壮大专业化高价值产业集群。深化与西南财大合作，加快打造天府商务服务区“法律财税服务集群”，共建“一平台一中心一基地”，充分发挥金融科技国际联合实验室赋能作用，深化“交子之星”经济证券化倍增行动计划，打造金融科技创新生态圈，辅导报会企业3家，金融业增加值突破65亿元。推动楼宇、会展、总部经济高质量发展。挂牌中医大健康谷等主题产业楼宇（园区）5栋，新增区级专业特色楼宇2栋、市级专业特色楼宇1栋、亿元税收楼宇1栋，引进会展重点企业1个，举办国际金融论坛等产业会展活动50场以上。出台总部经济支持政策，建立健全“准总部”企业发现、储备培育机制，引育总部企业2家。加快建设四川省药品医疗器械检验检测能力提升项目、深国际物流产业园区等46个重大项目。力争招引重大产业化项目2个，净增规上、限上企业各10家，现代商务产业营收增长12%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提优发展文体旅游产业。打造都市Z世代活力消费、近郊运动休闲目的地。持续办好CBA“金牌主场”等4大赛事IP，开展校BA、滑步车等N个赛事，举办LiveHouse、小剧场等“小而美”系列文体商娱融合活动。建立鲁家滩“规建管运”标准化景区管理机制，提档升级鹿尔花园等“北林”环线文旅项目，形成特色鲜明、产品丰富、品质高端的文旅产业走廊。加快盛河影视文化产业园区等项目建设，力争招引重大产业化项目1个，净增规上企业5家，文体娱业、限上住宿业营收分别增长5%、15%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提升发展数字经济产业。依托四川省健康医疗大数据（温江）应用基地打造数据要素融通应用场景，靶向发力互联网医院、脑科学、元宇宙等细分赛道，夯实数字经济创新策源能力。发挥九州通医药、高济医药、合纵药易购等医药平台型龙头带动作用，推动供应链平台经济集群发展。深化“上云用数赋智”加快产业数字化转型，分级推动大中小企业“智改数转”，完成20家企业数字化改造，培育智能工厂和数字化车间5个。力争招引重大产业化项目2个，净增规上企业5家，数字经济核心产业营收、数字化转型企业营收分别增长10%、20%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3．平稳健康发展房地产建筑业</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突出外塑形象、内强功能、引领示范。加快建设五环路温江段，全力争取成温邛高速扩容改造项目温江段开工建设，实施康泉片区、城南片区道路织网筑基提升工程，借势地铁19号线，以内优外畅的交通路网增强产城人要素高效流动。加快温江菁才学校、市五医院光华院区等建设，推动城市基本功能提标扩面，以优质均衡的公共服务提升就近满足承载力。大力打造9条美丽街道、14个小游园等绿化景观提升，以城市环境品质提升三年行动塑造大美形态。一体推进“环境提优、基础提能、城市提品”，提升区域价值，促进房地产建筑业平稳健康发展。力争实现房地产销售面积、投资分别增长2%、5%以上。加快出台区级建筑业高质量发展支持政策，鼓励本地企业提产扩能增效，探索实施建筑业产值本地化考核，力争招引重大产业化项目1个，新增入库资质建筑企业3家，建安工程投资增长7%—8%，建筑业总产值增长5%以上。</w:t>
      </w:r>
    </w:p>
    <w:p>
      <w:pPr>
        <w:overflowPunct w:val="0"/>
        <w:spacing w:line="574"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（二）同时发力推进科技创新和科技成果转化</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抢抓成都打造服务战略大后方建设的创新策源地机遇，全面落实科技成果转化“一号工程”，以“四链融合”打通从原始创新突破到应用研究和产业发展的一体路径。</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4．集聚优势提升创新策源能力</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建强创新平台。加快推进生物靶向药物国家工程研究中心、电子科大抗干扰国家重点实验室、中医药人工智能工程研究中心等创新平台建设，力争新增市级以上创新平台5家。开发公共服务平台线上系统，建立科创资源双向流动、创新平台共建共享机制。培育创新主体。建立高新技术、“专精特新”企业动态培育库，量身定制成长方案。培育壮大生物技术药产业集群，新增上云企业200家以上，有效高新技术企业达520家，入库科技型中小企业400家。强化技术支撑。鼓励企业根据技术需求“带资进组”、高校院所及科研团队“揭榜挂帅”，引导链主企业联动产业链上下游打造创新联合体、申报科技重大专项，实现四上企业研发投入20亿元以上，高新技术产业营业收入达200亿元。</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5．协同创新加速科技成果转化</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深化校院企地协同创新。创建国家大学科技园，争取4所“双一流”高校纳入全市新一轮环高校知识经济圈规划，推动校院企地共建创新联合体和新型研发机构，加速中科源码服务机器人研究院、成都上交生物技术研究院发展。深化科创成果对接服务。组建成果转化联盟，探索招引、组建专业化、市场化成果转化运营公司，动态优化企业技术需求、高校院所成果“两张清单”，开展“校企双进·找矿挖宝”等科技成果对接活动不少于18场，引进校院企地合作成果转化重点项目6个以上。用好国家技术转移西南中心温江分中心，提升技术中介专业化、在地化水平，引培知名技术转移服务机构1家，培育技术经纪人100名，技术合同交易额达50亿元以上。抢抓西部中试中心建设机遇。紧扣科研成果概念产品试制等中试服务环节，加快推进锦弘医疗器械（中医药）中试熟化平台、智耀通创新药物CDMO中试服务平台建设，备案市级中试平台2个、服务中试项目20个。</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6．汇聚要素优化创新发展生态</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做强产业承载空间。打造电子科大“科创谷”，推动签约落地项目13个，加快“三医+AI”科技园二期、电子科大永宁校区建设，实现“三医+AI”科技园一期项目入驻率达50%。提升中医大健康谷孵化能力，加快推动医疗器械中试产业园投运，积极筹建道地药材种子种苗繁育园、健康食品产业园等产业化基地，推动中医大院内制剂、特需食品产业化，形成中医药传承创新产业集聚区。打造星河world·科创城、三医创新中心、农高创新中心等产业特色园区，探索依托林盘民宿等优势资源打造科创生态群落，全年新增孵化载体3家，培育省级载体1家。做优科创金融体系。积极推动政府产业投资基金与国家基金合作，设立规模5亿元的新兴产业创投基金（二期）和天使投资基金，自主管理基金投资项目不少于7个。完善债权融资等科技金融补贴机制，探索创新财政资金“拨改投”“先投后股”支持模式，扩大“科创贷”风险补偿资金池，助力企业获得“科创贷”4亿元、风险投资3亿元以上。做大创新人才队伍。搭建院士（专家）工作站产学研对接平台，发挥技术引领和团队培育作用，推动华医再生开展类器官技术研究，蓝海智能优化提升掘进机智能控制系统，海思科突破小分子抗糖尿病药物。实施顶尖科技创新团队“双招双引”和“产业建圈强链人才提质行动”，新引进高层次创新人才（团队）12名（个）以上，高层次领军人才突破225名，博士后科研工作站（创新实践基地）达12个。</w:t>
      </w:r>
    </w:p>
    <w:p>
      <w:pPr>
        <w:overflowPunct w:val="0"/>
        <w:spacing w:line="574"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（三）全面发力推进乡村振兴统筹城乡融合发展</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坚持农业农村优先发展，深入推进国家城乡融合发展试验区建设，以“三联三共”为抓手，推进城乡融合高质量发展。</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7．做强功能支撑提升内生动能</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推动城乡空间优化布局。突出城乡一体化加快完善“两级三类”国土空间规划体系，高质量优化镇级国土空间规划和村级国土空间规划成果，高标准编制宜居宜业和美乡村全域规划，推进先行村、重点村“多规合一”实用性规划应编尽编，统筹推动城乡基础设施一体化规划布局、公共服务均衡优质配置，形成“一心两带三轴三园”的城乡空间发展结构。实施中心镇特色化、辐射力提能发展行动，强化城乡市场准入“一张清单”管理。坚持精准放权、放管衔接、提质增效，深化落实镇（街道）扩权赋能，强化镇（街道）综合管理权、统筹协调权、应急处置权。推动城乡业态融合联动。实施三次产业高质量协同发展，强化智慧农业技术创新应用，科学布局冷链运输网络等集配设施，促进重点农产品初加工向精深加工、创品牌全链条升级，发展生态功能食品和健康食品等特色领域。深入推进农商文旅体养融合发展，升级改造商业综合体、超市和集贸市场，大力发展社交电商、直播电商和网络新零售，优化区镇村三级商贸节点及网络布局，培育一批自然研学、运动康养等新产业、新业态，打造具有温江特质和社会吸引力的乡村旅游IP，打造和美乡村消费新场景5个以上。推动城乡交通效能提升。按照建设“兴产”“慢游”“强接”的道路网络理念，优化完善、提档升级对外交通枢纽、城乡道路网络体系，策划推进温江西立交南北道路贯通工程，积极推进天润路、永宁大道南段等断头路打通，成青路轴线2024年成都世界园艺博览会慢行提升等工作。推动“四好农村路”建设和改造提升，全年改造提升农村公路10公里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8．做优资源配置建设宜居宜业和美乡村</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加强全域统筹推进。学习运用“千万工程”经验，深入实施“十村先行、百院示范、千户提升、全域和美”工程和宜居宜业和美乡村建设“十大行动”，按照全域推进、分类指导、因村施策、重点突破原则，高质量形成宜居宜业和美乡村建设任务、项目、责任“三张清单”。加强示范建设推进。按照“梯度培育、成片打造”思路，建立示范村、先行村储备库，提质提速榜样青年CSA、耕舍等项目8个，扎实推进3个先行村和3个重点村建设，打造25个示范院落、提升200户人居环境，连片式打造宜居宜业和美乡村示范带，积极争创2024年省市级宜居宜业和美乡村示范村。推动要素高效配置。探索多村合作、整镇组团、跨镇抱团等多样化发展路径，健全农村集体经济收益分配和监管机制，发展壮大新型农村集体经济。深入推进农村产权制度、农村土地“三权分置”等重点领域改革，建立完善宅基地集约、退出管理制度，制定集体土地用地批准流程及要件清单。统筹推进农民进城和人才下乡，持续深化“新村民”制度试点，建立乡村振兴人才数据库，实现全区常住人口城镇化率达79.2%以上。深入推进财政支农资金“投改股”创新改革，定期发布农业农村领域重点项目投资机会清单。加大金融支持力度，鼓励国有平台参与和美乡村建设，拓宽社会资本参建渠道。持续提升农村人居环境。推进农村生活垃圾、生活污水、厕所“三大革命”，出台温江区农房集聚建设试点方案，分类打造、示范带动完成100栋农房特色风貌塑造。大力实施文明乡风培育、文化资源下乡行动，深化“一核三治四共五美”等乡村治理模式，塑造具有巴蜀韵味、彰显金温江特质的和美乡村新图景。</w:t>
      </w:r>
    </w:p>
    <w:p>
      <w:pPr>
        <w:overflowPunct w:val="0"/>
        <w:spacing w:line="574"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（四）持续发力筑牢长江上游生态屏障促进绿色发展</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坚持走好生态优先绿色发展之路，锚定“双碳”目标，推动“四大结构”优化调整，打好污染防治攻坚战，探索生态价值多元转化，奋力书写人与自然和谐共生的现代化温江新篇章。</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9．攻坚突破“四大结构”优化调整</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优化构建国土空间保护开发格局。严格落实“三区三线”划定成果，推动区级总体规划于5月前获省政府批复，协同推进25个专项规划审查报批，落实开发区整合优化。深化立体空间开发和存量空间利用，加速推动明光TOD等项目建设。探索构建绿色低碳产业体系。完善“南城北林”生态环境分区域管控体系，坚决遏制“两高一低”项目盲目上马，试点开展涉气工业企业环境经济效益评估。全面构建绿色高效交通体系。力争启动轨道交通L8温崇线、地铁4号线3期等重大项目，优化完善轨道公交接驳，新开、优化公交线路8条。加快上线106辆新能源公交车，持续引导巡游出租汽车和货运车辆新能源化，绿色出行分担率达77%。打造1个“公交服务+集散停车+产业配套”枢纽样板，做强合生汇智电中心，优化管理运行共享电单车。提质构建清洁新型能源体系。实施新型充换电“一张网”攻坚，新建充（换）电站10座、充电桩2500个以上。加快建设牧电科技、天府储能等项目。深入实施清洁能源替代行动，清洁能源消费占比提高1个百分点。</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10．聚力建设全域公园城市</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塑造公园城市大美形态。系统推进三级公园、五级绿化建设，落实“五绿润城”“百花美城”“千园融城”行动，新建各类公园3个，加快建设未来公园社区3个，创建市、区（市）县两级园林式居住小区（公园小区）10个，打造“金角银边”公园城市示范场景15个，新增绿地30公顷、立体绿化8000平方米。系统推动城市更新和城中村改造，用好成都市以城市更新方式推动低效用地再开发机制，注重文化挖掘和传承保护，延续风貌格局和街巷肌理，加快推进凤栖谷行政学院、建设路片区等4个项目建设，竣工投用白马庙市场、文庙·印巷城市有机更新项目。全面开展“城市体检”和精修细补工程，按照策划、规划、设计、建设、运营一体化方式，以片区为单位推进城中村改造，启动首批专项借款支持项目建设，完成改造300户。塑强绿道蓝网复合体系。新建、提升改造天府绿道35公里，打造社区绿道50条、花卉特色绿道5条，完成5.7公里天府蓝网建设。塑优生态价值转化路径。创新形成“政府引领+市场化运营+基金投顾”的反哺长效运营机制，打造以环境为导向的区域经济发展模式（EOD）示范项目。持续完善生态系统生产总值（GEP）核算技术规范，全面完成试点任务。</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11．打好蓝天碧水净土保卫战</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打好蓝天保卫战。深入推进重污染天气消除、臭氧污染和移动源污染治理攻坚战，持续加强西部区域大气联防联控，推动涉VOCs重点企业全覆盖设置“电子围栏”，确保PM2.5年均浓度低于38微克/立方米，空气质量优良天数不低于290天。打好碧水保卫战。全面落实河（湖）长制，实施清水河温江段等防洪治理工程，投运金马污水厂一期、启动建设二期，加快永宁污水厂前期工作，全区优良水体率保持100%。打好净土保卫战。强化污染地块管控治理和受污染耕地安全利用，实施川西林盘重大生态保护修复工程，建成区绿化覆盖率达43%。抓好央督省督和长江经济带反馈问题整改。常态化开展“回头看”，持续巩固问题整改成果，全力做好第三轮中央生态环境保护督察准备。</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12．绿色生产生活方式达到新高度</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推动生产方式绿色升级。积极稳妥推进“碳达峰十大行动”，推广应用“零碳券”，提升工业、建筑、交通等领域节能降碳水平，开展成都医学城近零碳排放园区试点建设，新增绿色工厂2家，新建绿色建筑占比90%，单位地区生产总值能耗和碳排放强度持续降低。大力发展绿色低碳循环经济，深化废旧物资循环利用体系建设。推动生活方式绿色节约。深入推进生活垃圾分类，抓好全市生活垃圾分类“提标提质”示范区域创建，实现市民知晓率达99%以上、厨余垃圾分类率达20%以上。加快建设“无废城市”，生活垃圾、建筑垃圾资源化利用率达82%以上。深度参与“碳惠天府”，加快推动鲁家滩碳汇项目通过四川联合环境交易所参与碳减排量交易，倡导市民绿色出行和低碳消费。</w:t>
      </w:r>
    </w:p>
    <w:p>
      <w:pPr>
        <w:overflowPunct w:val="0"/>
        <w:spacing w:line="574"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（五）强化综合施策提升市场有效需求</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坚持项目为王、投资优先、税收为核，以产业项目的集群成势和企业的梯次培育筑强经济发展支撑，更好统筹消费和投资，激发有潜能的消费，扩大有效益的投资。</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13．强化重大项目牵引扩大有效投资</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提升重大项目带动功能。强化“六个一批”重大项目全生命周期管理，新开工四川航天伺服制造基地等项目118个，加快建设远大医药放射性药物研发及生产基地等项目44个，竣工投运通瑞生物医药研发生产基地一期等项目57个，力争完成年度计划投资不低于160亿元。建设亿元以上重大工业和信息化项目23个，实现工业投资增长8%以上。提升民间投资回暖势能。落实促进民间投资政策措施，用好政府和社会资本合作新机制，围绕重大项目、产业项目、特许经营项目积极开展项目推介和投融资对接，精准引导民间资本参与项目建设。提升项目生成管理效能。聚焦重点片区开发、地下管网等“里子工程”、教育养老等民生服务、产业建圈强链等重点领域，绿色低碳发展、科技创新、“三大工程”、乡村振兴等国家支持方向，推动“平急两用”和城中村改造项目等对上争取，力争项目策划包装储备入库匡算总投资1000亿元以上。</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14．加强招商引资蓄势赋能高质量发展</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深化建圈强链招商引智攻坚行动，一体推进全员招商、基金招商、产业链招商，强化项目信息共享和协同推进。优化完善“产业大脑”，定向采集目标企业及龙头企业数据，分析投资意向、布局信息和区内企业社会关系，打造“以企招商”“以商招商”等智能化服务。瞄准东部沿海地区产业转移，紧盯重点区域、重点产业、重点企业，编制承接产业转移机会清单，精准招引一批投资规模大、带动能力强、科技含量高的大项目、好项目，力争新签约引进社会投资项目100个以上，其中重大产业化项目22个，30亿元以上项目4个。实现实际到位内资84亿元、外商直接投资（FDI）9000万美元。健全签约注册移交项目促建机制，项目落地动工率达90%。</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15．扩大内需外需提质扩容消费市场</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不断激活外向型经济。借力“进博会”“广交会”等外向型展会平台，引导企业利用RCEP政策红利，建渠道、拓市场、抢订单，力争货物进出口总额增长10%以上、离岸服务外包执行额突破1.7亿美元。增强消费集聚力。紧盯“培育创建国际消费中心城市，打造国际范、中国味、巴蜀韵消费新场景”试点任务，完成消费空间布局专项规划，建设“在水一方·喜马拉雅”数字有声水文化等体验式消费场景3个，吴家场当代中式文化等特色街区2条。“一圈一策”打造具有示范引领效应的时尚潮流“光华商圈”、活力潮动“凤栖商圈”、缤纷潮购“大学城商圈”、律动潮玩“国色天乡商圈”，提档升级构建多层级商业体系，实施餐饮蝶变计划，引育首店30家以上，引进消费品牌50个，落地宝马、智己、极氪等汽车品牌5个。增强消费吸引力。开展“蜀里安逸”“新十二月市”、国际美食节等促消费活动50场次以上。增强消费引领力。丰富沉浸体验式、个性定制型、数字智慧化商品供给，投运“一站式城市活力消费标杆”旭辉Cmall。</w:t>
      </w:r>
    </w:p>
    <w:p>
      <w:pPr>
        <w:overflowPunct w:val="0"/>
        <w:spacing w:line="574"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（六）深化改革开放提升营商环境</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深入落实优化营商环境“一号工程”，深化智慧蓉城建设赋能营商环境，坚持向互联网要效率，坚持向流程再造要效率，坚持向简政放权要效率，争创全市政务服务的比较优势，致力把“温江效率”打造为营商环境最靓丽的名片。</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16．以一流营商环境促进经营主体发展壮大</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持续提升市场维护“尺度”。出台实施营商环境6.0版，规范行政执法权力，完善“3+2”清单推进包容审慎监管，实施工程建设项目行政服务负面清单制度，实现有效监管与最少打扰有机融合。统筹推进第二批行政权力下放，积极争取成都医学城纳入全省集成授权改革试点。全面提升政务服务“速度”。深化“一网通办”改革，推动“蓉易”系列服务和温江特色应用场景实现数据同源、多面呈现，政务服务、政策申兑、企业诉求一网高效办，力争“一网通办”实际网办比例达90%以上，企业全生命周期重点阶段基本实现“一件事一次办”。不断提升企业服务“温度”。做实重大社会投资项目帮办代办服务，加快推动流程再造，推进重大产业化项目联审联批和工程建设项目联合验收。加强电脑端、手机端、自助端、窗口端“四端协同”，充分发挥“12345亲清在线”总客服效应，搭建多层次政企常态化交流平台，提级办理热点难点诉求和不满意投诉，经营主体对营商环境满意度达95%以上。着力提升助企惠企“力度”。优化提升智慧企业服务平台功能，推动要素“一站式”供给，惠企政策集成发布率100%，助推政策“免申即享”“即申即享”“快审快兑”。实施支持民营经济发展壮大政策措施，动态发布城市机会清单，在市场准入、要素获取等方面落实一系列标志性举措。大力支持企业上市，优化完善上市配套政策，动态更新拟上市企业资源库，提供投融资对接、上市规划等服务，力促企业在股改、备案等环节跨“坎”升级。</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17．以重点领域改革激发经济发展动力</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实施国企改革提升行动。聚焦国有企业“强链、筑基、赋能、成势”，在资产资源重组整合、企业组织重塑、市场化竞争、降本增效等方面取得新突破，基本形成“小总部、大集团、大产业”组织体系，实现资产规模、营业收入、利润总额增长7%以上。实施自贸协同改革先行区提能行动。完善生物医药特殊物品出入境“关地协同”监管模式。加快推进花木（农产品）进出口园区作为天府国际机场进境植物指定监管隔离场所建设，探索“两段准入”下的“附条件提离”通关模式，推进“高风险特殊物品跨关区联合监管模式”在全省范围内复制推广，积极争取纳入四川省服务贸易特色基地培育库，新增AEO高级认证企业1家。实施土地节约集约利用改革提效行动。落实工业用地“标准地”制度，探索推行“混合用地”、低效用地再开发试点。积极争取制定出台耕地恢复区内统筹政策。力争处置城镇批而未供土地4200亩，盘活低效工业用地800亩。</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18．以对外开放格局推动区域发展协同</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深化跨区域协作。积极融入成渝地区双城经济圈建设，深入推进温江、巴南共建成渝地区双城经济圈产业合作示范园区，实现药明康德CRO等重大平台资源共享。推动温江、南沙加快建立飞地创新孵化平台，形成双方合作事项清单、协同推进机制、项目分享机制和经济贡献分配机制。深化毗邻区域联动。加力推进清水河高新技术产业走廊建设，规划构建“一环三带、两心五组团”空间格局，做优做强核心功能项目18个，加速彰显特色功能项目14个，加快提升基本功能项目13个。协同青羊、双流、崇州、都江堰等区域，在招商引资、产业协同、基础设施、公服配套等方面形成合作事项，助推成都都市圈建设。深化先发区域结对。结对联动长三角、珠三角先发地区和市内先发区域，完善镇（街道）、部门及区属国有企业结对合作方案和“三项清单”。</w:t>
      </w:r>
    </w:p>
    <w:p>
      <w:pPr>
        <w:overflowPunct w:val="0"/>
        <w:spacing w:line="574"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（七）均衡化公共服务提升人民福祉</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坚持以高质量发展质效持续兑换幸福指数，深入实施幸福美好生活十大工程，加快推进一批群众可感可及的民生实事，打造更有温度、更有内涵、更有质感、更有活力的幸福城市。</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19．多措并举稳就业促增收</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优化政策服务供给。推动经济政策与就业政策协调联动，突出抓好重点群体就业促进工作，打造可视化就业创业“一站式”标准化试点应用场景，力争促进新增城乡就业5000人，吸纳高校毕业生就业创业3500人，帮助农村劳动力转移就业新增3000人，城镇调查失业率控制在5.5%以内，在库就业困难人员就业率保持在90%以上，动态消除零就业家庭。城乡居民人均可支配收入增长与经济增长基本同步，城乡居民收入比不断缩小。强化能力提升培训。支持重点企业与高校院所合作，采取“订单式”、委托代培等方式开展急需紧缺人才定制化培养，针对性开展职业技能培训4200人（次）以上。实现创业带动就业。扎实推进青年发展型城市建设工作，打造“鱼凫企业家成长营”“青年创新创业大赛”等就业创业品牌，扶持青年（大学生）、返乡下乡创业者、就业困难人员创新创业，开展创业培训不低于3500人（次）。构建和谐劳动关系。持续巩固“柔性关怀+专业调解”等解纷新路径，全力构建“1+3+9+N”劳动纠纷多元共治新格局，积极预防化解劳动领域突出矛盾和重大风险。</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20．</w:t>
      </w:r>
      <w:r>
        <w:fldChar w:fldCharType="begin"/>
      </w:r>
      <w:r>
        <w:instrText xml:space="preserve"> HYPERLINK "http://www.baidu.com/link?url=6bLrtemOdNGKTgN2dIdaS3Qun7Ysi-fv7KVChY3CXvo_9F2GVbqABNirg0D6MzaK8SJwcnyKr6ox7frGupnCSahRTwT3lYXwIIOqDs_3Hhy" \t "https://www.baidu.com/_blank" </w:instrText>
      </w:r>
      <w:r>
        <w:fldChar w:fldCharType="separate"/>
      </w:r>
      <w:r>
        <w:rPr>
          <w:rFonts w:eastAsia="仿宋_GB2312"/>
          <w:bCs/>
          <w:color w:val="000000"/>
          <w:sz w:val="32"/>
          <w:szCs w:val="32"/>
          <w:lang w:val="zh-TW"/>
        </w:rPr>
        <w:t>加快健全多层次社会保障体系</w:t>
      </w:r>
      <w:r>
        <w:rPr>
          <w:rFonts w:eastAsia="仿宋_GB2312"/>
          <w:bCs/>
          <w:color w:val="000000"/>
          <w:sz w:val="32"/>
          <w:szCs w:val="32"/>
          <w:lang w:val="zh-TW"/>
        </w:rPr>
        <w:fldChar w:fldCharType="end"/>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坚持尽力而为、量力而行，兜住、兜准、兜牢民生底线。健全住房保障体系。开工建设光明苑三期优居房，加快推进长石二期等优居房建设。对符合条件的城镇住房收入困难家庭提供公租房保障，对符合条件的新市民、青年人等无房群体提供保障性租赁住房，新增筹建保障性租赁住房800套（间）。建设全龄友好社会。落实“一老一小”整体解决方案，布局建设公共服务综合体和嵌入式服务设施，实现社区养老服务设施覆盖率达100%，全区养老机构服务质量达标率90%以上，高质量打造未成年人保护示范镇（街道）4个，每千人口托位数达4.24个以上，推进落实成都市儿童友好城市建设工作。开展特殊困难群体巡访关爱专项行动、特殊困难群体儿童结对帮扶行动，实现有意愿且符合条件的特困人员集中供养率、特殊困难儿童帮扶率均达100%。加强低保提标扩围精准兜底，健全完善社会救助体系。实施全民参保计划。开展社保扩面提质专项行动，实现城乡基本养老保险参保率达94%，基本医疗保障依法覆盖全民。强化重要民生商品保供稳价，居民消费价格涨幅控制在3%以内。</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21．提高高品质公共服务供给</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建立与城市空间结构、功能布局、人口分布、经济发展相适应的公共服务精准配置机制。推动公平优质教育供给。新建和续建温江菁才学校、农科城小学等学校，新增学位2.2万个，推动优质教育资源领办科技园高中，普惠性幼儿园覆盖率达86%以上，义务教育优质教育资源覆盖率达88%以上。持续推动校园运动场有序对外开放，建成留炼运动场15个，打造体教融合示范点。推动全域品质医疗供给。加快建设金马医疗卫生次中心等项目，探索网格化城市医联体、中医医联体等建设路径，构建以县域医疗卫生次中心建设为核心的基层卫生联盟，巩固区人民医院与四川大学华西医院专科联盟建设成果。常态化做好传染病监测预警，全面提升处理能力。推动公共文体服务高品质供给。打造个性化社区运动角、天府绿道新空间等15个以上。提质推动留灯书屋主题化、智能化建设。开展社区文化节等活动20场以上，打造群众文化活动品牌。推动品质社区服务供给。促进住宿餐饮、家政服务、即时零售、共享食堂等标准化品牌化连锁化发展。投运白马庙社区综合体，加快江宁南路等3个社区综合体建设，推动社区服务功能复合、品质提升，建设一刻钟便民生活圈2个，营造社区生活消费新场景。</w:t>
      </w:r>
    </w:p>
    <w:p>
      <w:pPr>
        <w:overflowPunct w:val="0"/>
        <w:spacing w:line="574"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（八）现代化城市治理提升安全韧性</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坚持智慧蓉城与“微网实格”双向赋能，打通治理末端，防范化解重大风险，全面提升城市安全韧性水平和抵御冲击能力，营建“和谐邻里情·温江一家亲”城市向心力。</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22．增强智慧治理能力</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夯实城市治理体系。依托“王”字型城市运行管理架构，加强线上线下业务协同和流程再造，推进区、镇（街道）两级城运中心一体化实战运行，推动智慧治理末端向村（社区）、网格（小区）拓展延伸。优化“积分礼遇”智慧管理机制，激活网格员、“双报到”党员、志愿者等群体合力，持续释放“温江一家亲”基层治理效应。做实平台支撑效能。深入推进智慧蓉城温江建设，强化5G网络深度覆盖，持续做强智能中枢，建好用好“城市一张图”，推动“微网实格”治理平台与城运平台融合联动，依托“报表通”建立数据采集更新和共享机制。完善“一舱两端”，打通网格事件与智慧城市事件枢纽，提升平台感知、预警和调度能力，广泛建立“最小应急单元”，实现突发事件就近响应、快速控制。加快智慧公安感知源三期建设和四期规划。做优场景应用成效。探索建立应用场景分级分类供给机制和复制推广机制，围绕重点敏感区域的痛点难点问题，建设校园安全、养老等领域智慧应用场景，试点打造一批重点区域特色场景。</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23．提升安全保障能力</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守好粮食安全底线。健全粮食安全、耕地保护党政同责体系，加强耕地占补平衡和进出平衡管理，遏制耕地“非农化”、严格管控“非粮化”，实行建设项目占用耕地前置评价制度。健全“三级”田长制和网格员责任制度，有序引导低效残次苗木腾退并恢复种粮，稳步扩大粮食种植面积，建成高标准农田5000亩，实现粮油蔬菜播面5.4万亩。夯实能源体系建设。启动建设220千伏渡桥输变电工程等项目4个，电网安全负荷提升至108万千瓦，满足全区迎峰度夏（冬）能源供应平稳有序。推动110千伏光明输变电工程竣工投运，保障工业集中发展区双电源需求。改造10个老旧小区燃气、20年以上燃气老旧管道20公里。持续推进北部农村区域燃气管网建设，保障集中安置小区、散居用户用气。加快科技园配气站提升改造等项目建设，提升油气供应保障能力。压实安全生产责任。全面厘清安全监管职责边界，大力开展安全隐患排查整治，提升7个行业（领域）安全水平。强化突发事件应对处置，形成事前预防、事中检查、事后处置全闭环管理机制，坚决遏制较大及以上生产安全事故。提升风险化解水平。从严控制政府债务规模，科学组织财政收入，牢牢守住不发生系统性风险底线。坚决有力处置化解房地产风险，打好重点风险企业在温项目“保交楼”收官之战。坚持和发展新时代“枫桥经验”，深入推进“诉源治理”，努力把矛盾纠纷化解在基层、化解在萌芽状态，创造安全稳定社会环境。</w:t>
      </w: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以上报告，请予审查。</w:t>
      </w:r>
    </w:p>
    <w:p>
      <w:pPr>
        <w:overflowPunct w:val="0"/>
        <w:spacing w:line="574" w:lineRule="exact"/>
        <w:ind w:firstLine="640" w:firstLineChars="200"/>
        <w:rPr>
          <w:rFonts w:eastAsia="仿宋_GB2312"/>
          <w:bCs/>
          <w:color w:val="000000"/>
          <w:sz w:val="32"/>
          <w:szCs w:val="32"/>
          <w:lang w:val="zh-TW"/>
        </w:rPr>
      </w:pPr>
    </w:p>
    <w:p>
      <w:pPr>
        <w:overflowPunct w:val="0"/>
        <w:spacing w:line="574" w:lineRule="exact"/>
        <w:ind w:firstLine="640" w:firstLineChars="200"/>
        <w:rPr>
          <w:rFonts w:eastAsia="仿宋_GB2312"/>
          <w:bCs/>
          <w:color w:val="000000"/>
          <w:sz w:val="32"/>
          <w:szCs w:val="32"/>
          <w:lang w:val="zh-TW"/>
        </w:rPr>
      </w:pPr>
      <w:r>
        <w:rPr>
          <w:rFonts w:eastAsia="仿宋_GB2312"/>
          <w:bCs/>
          <w:color w:val="000000"/>
          <w:sz w:val="32"/>
          <w:szCs w:val="32"/>
          <w:lang w:val="zh-TW"/>
        </w:rPr>
        <w:t>附件：名词解释</w:t>
      </w:r>
    </w:p>
    <w:p>
      <w:pPr>
        <w:overflowPunct w:val="0"/>
        <w:spacing w:line="574" w:lineRule="exact"/>
        <w:jc w:val="center"/>
        <w:rPr>
          <w:rFonts w:eastAsia="方正小标宋简体"/>
          <w:color w:val="000000"/>
          <w:szCs w:val="21"/>
        </w:rPr>
      </w:pPr>
      <w:r>
        <w:rPr>
          <w:rFonts w:eastAsia="仿宋_GB2312"/>
          <w:bCs/>
          <w:color w:val="000000"/>
          <w:sz w:val="32"/>
          <w:szCs w:val="32"/>
          <w:lang w:val="zh-TW"/>
        </w:rPr>
        <w:br w:type="page"/>
      </w:r>
    </w:p>
    <w:p>
      <w:pPr>
        <w:overflowPunct w:val="0"/>
        <w:spacing w:line="574" w:lineRule="exact"/>
      </w:pPr>
      <w:r>
        <w:rPr>
          <w:rFonts w:eastAsia="方正黑体简体"/>
          <w:color w:val="000000"/>
          <w:sz w:val="32"/>
          <w:szCs w:val="32"/>
        </w:rPr>
        <w:t>附件</w:t>
      </w:r>
    </w:p>
    <w:p>
      <w:pPr>
        <w:pStyle w:val="4"/>
        <w:overflowPunct w:val="0"/>
        <w:spacing w:after="0" w:line="600" w:lineRule="exact"/>
        <w:jc w:val="center"/>
        <w:rPr>
          <w:rFonts w:eastAsia="方正小标宋简体"/>
          <w:snapToGrid w:val="0"/>
          <w:color w:val="000000"/>
          <w:kern w:val="0"/>
          <w:sz w:val="44"/>
          <w:szCs w:val="44"/>
        </w:rPr>
      </w:pPr>
      <w:r>
        <w:rPr>
          <w:rFonts w:eastAsia="方正小标宋简体"/>
          <w:snapToGrid w:val="0"/>
          <w:color w:val="000000"/>
          <w:kern w:val="0"/>
          <w:sz w:val="44"/>
          <w:szCs w:val="44"/>
        </w:rPr>
        <w:t>名词解释</w:t>
      </w:r>
    </w:p>
    <w:p>
      <w:pPr>
        <w:pStyle w:val="4"/>
        <w:overflowPunct w:val="0"/>
        <w:spacing w:after="0" w:line="574" w:lineRule="exact"/>
      </w:pP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三个做优做强：</w:t>
      </w:r>
      <w:r>
        <w:rPr>
          <w:rFonts w:eastAsia="仿宋_GB2312"/>
          <w:sz w:val="32"/>
          <w:szCs w:val="32"/>
        </w:rPr>
        <w:t>持续做优做强中心城区、城市新区、郊区新城。</w:t>
      </w:r>
    </w:p>
    <w:p>
      <w:pPr>
        <w:numPr>
          <w:ilvl w:val="0"/>
          <w:numId w:val="2"/>
        </w:numPr>
        <w:overflowPunct w:val="0"/>
        <w:spacing w:line="574" w:lineRule="exact"/>
        <w:ind w:left="0" w:firstLine="640" w:firstLineChars="200"/>
        <w:rPr>
          <w:rFonts w:eastAsia="仿宋_GB2312"/>
          <w:snapToGrid w:val="0"/>
          <w:color w:val="000000"/>
          <w:kern w:val="0"/>
          <w:sz w:val="32"/>
          <w:szCs w:val="32"/>
        </w:rPr>
      </w:pPr>
      <w:r>
        <w:rPr>
          <w:rFonts w:eastAsia="楷体_GB2312"/>
          <w:snapToGrid w:val="0"/>
          <w:color w:val="000000"/>
          <w:kern w:val="0"/>
          <w:sz w:val="32"/>
          <w:szCs w:val="32"/>
        </w:rPr>
        <w:t>四链融合：</w:t>
      </w:r>
      <w:r>
        <w:rPr>
          <w:rFonts w:eastAsia="仿宋_GB2312"/>
          <w:snapToGrid w:val="0"/>
          <w:color w:val="000000"/>
          <w:kern w:val="0"/>
          <w:sz w:val="32"/>
          <w:szCs w:val="32"/>
        </w:rPr>
        <w:t>创新链、产业链、资金链和人才链融合。</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“八个一”工作思路：</w:t>
      </w:r>
      <w:r>
        <w:rPr>
          <w:rFonts w:eastAsia="仿宋_GB2312"/>
          <w:sz w:val="32"/>
          <w:szCs w:val="32"/>
        </w:rPr>
        <w:t>明确一个目标、建好一支队伍、形成一套指标、创设一个园区、出台一个政策、营造一个环境、搭建一个平台、解决一批问题。</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“3+6”现代化产业体系：</w:t>
      </w:r>
      <w:r>
        <w:rPr>
          <w:rFonts w:eastAsia="仿宋_GB2312"/>
          <w:sz w:val="32"/>
          <w:szCs w:val="32"/>
        </w:rPr>
        <w:t>区委第十五届十次全会审议通过的《中共成都市温江区委关于坚持科技创新引领加快构建以实体经济为支撑的现代化产业体系的决定》中，明确重点发展医药健康、绿色食品、现代都市农业三大地标产业，以及装备制造、电子信息、印务轻纺、现代商务、文体旅游、数字经济六大重点产业和未来产业。</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“三个都可以”承诺：</w:t>
      </w:r>
      <w:r>
        <w:rPr>
          <w:rFonts w:eastAsia="仿宋_GB2312"/>
          <w:sz w:val="32"/>
          <w:szCs w:val="32"/>
        </w:rPr>
        <w:t>只要是先进地区行之有效的政策措施，都可以参照；只要是国家法律法规没有明令禁止的，都可以放行；只要是不触碰红线底线的，都可以给予容错空间。</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首席质量官“四权六责”：</w:t>
      </w:r>
      <w:r>
        <w:rPr>
          <w:rFonts w:eastAsia="仿宋_GB2312"/>
          <w:sz w:val="32"/>
          <w:szCs w:val="32"/>
        </w:rPr>
        <w:t>赋予首席质量官相应的建议权、监督权、把关权、否决权，明确首席质量官在质量发展战略制订、质量管理体系建立实施、质量改进和质量创新的组织实施、质量统计分析和成本管理、质量教育培训、质量文化建设等方面的工作职责，使其成为企业产品质量的第一负责人。</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一带九岛十片：</w:t>
      </w:r>
      <w:r>
        <w:rPr>
          <w:rFonts w:eastAsia="仿宋_GB2312"/>
          <w:sz w:val="32"/>
          <w:szCs w:val="32"/>
        </w:rPr>
        <w:t>清水河高新技术产业走廊总体规划，其中“一带”指清水河科创带，“九岛”指会客岛、数智岛、创研岛、科普岛、军民融合岛、科幻岛、未来岛、数研岛、乐活岛9个功能板块；“十片”指2个集成电路区、1个新型显示区、3个智能终端区、1个信息技术应用创新区、1个三医IT+BT创新区、1个药械制造区、1个IT+BT实践区10个产业片区。</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一环三带、两心五组团：</w:t>
      </w:r>
      <w:r>
        <w:rPr>
          <w:rFonts w:eastAsia="仿宋_GB2312"/>
          <w:sz w:val="32"/>
          <w:szCs w:val="32"/>
        </w:rPr>
        <w:t>指清水河高新技术产业走廊城市设计，其中“一环”指都市田园景观环，“三带”指漏沙堰都市田园景观带、三斗渠创新主题公园带和五斗渠健康主题公园带，“两心”指创智产业综合服务中心、文化体育城市服务中心，“五组团”指校地双向融合创新组团、健康智造组团、数字智造产业组团、健康乐活宜居组团、BT+IT融合创新组团。</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rPr>
        <w:t>无废城市：</w:t>
      </w:r>
      <w:r>
        <w:rPr>
          <w:rFonts w:eastAsia="仿宋_GB2312"/>
          <w:sz w:val="32"/>
          <w:szCs w:val="32"/>
        </w:rPr>
        <w:t>城市实现固体废物源头减量和资源化利用，最大限度减少填埋量，将固体废物对环境的影响降到最低，推动形成绿色环保的发展方式和生活方式。</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学校</w:t>
      </w:r>
      <w:r>
        <w:rPr>
          <w:rFonts w:eastAsia="楷体_GB2312"/>
          <w:snapToGrid w:val="0"/>
          <w:color w:val="000000"/>
          <w:kern w:val="0"/>
          <w:sz w:val="32"/>
          <w:szCs w:val="32"/>
          <w:lang w:val="zh-TW"/>
        </w:rPr>
        <w:t>“</w:t>
      </w:r>
      <w:r>
        <w:rPr>
          <w:rFonts w:eastAsia="楷体_GB2312"/>
          <w:snapToGrid w:val="0"/>
          <w:color w:val="000000"/>
          <w:kern w:val="0"/>
          <w:sz w:val="32"/>
          <w:szCs w:val="32"/>
          <w:lang w:val="zh-TW" w:eastAsia="zh-TW"/>
        </w:rPr>
        <w:t>一场双门</w:t>
      </w:r>
      <w:r>
        <w:rPr>
          <w:rFonts w:eastAsia="楷体_GB2312"/>
          <w:snapToGrid w:val="0"/>
          <w:color w:val="000000"/>
          <w:kern w:val="0"/>
          <w:sz w:val="32"/>
          <w:szCs w:val="32"/>
          <w:lang w:val="zh-TW"/>
        </w:rPr>
        <w:t>”</w:t>
      </w:r>
      <w:r>
        <w:rPr>
          <w:rFonts w:eastAsia="楷体_GB2312"/>
          <w:snapToGrid w:val="0"/>
          <w:color w:val="000000"/>
          <w:kern w:val="0"/>
          <w:sz w:val="32"/>
          <w:szCs w:val="32"/>
          <w:lang w:val="zh-TW" w:eastAsia="zh-TW"/>
        </w:rPr>
        <w:t>开放</w:t>
      </w:r>
      <w:r>
        <w:rPr>
          <w:rFonts w:eastAsia="楷体_GB2312"/>
          <w:snapToGrid w:val="0"/>
          <w:color w:val="000000"/>
          <w:kern w:val="0"/>
          <w:sz w:val="32"/>
          <w:szCs w:val="32"/>
          <w:lang w:val="zh-TW"/>
        </w:rPr>
        <w:t>：</w:t>
      </w:r>
      <w:r>
        <w:rPr>
          <w:rFonts w:eastAsia="仿宋_GB2312"/>
          <w:sz w:val="32"/>
          <w:szCs w:val="32"/>
        </w:rPr>
        <w:t>在学校体育设施中设置两个进出通道，在不同时段分别服务在校学生和社会公众。</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智慧蓉城“王”字型构架：</w:t>
      </w:r>
      <w:r>
        <w:rPr>
          <w:rFonts w:eastAsia="仿宋_GB2312"/>
          <w:sz w:val="32"/>
          <w:szCs w:val="32"/>
        </w:rPr>
        <w:t>成都市推行的包含市城运中心、区（市）县级城运中心、镇（街道）级城运中心的三级智慧城市运行管理</w:t>
      </w:r>
      <w:r>
        <w:rPr>
          <w:rFonts w:hint="eastAsia" w:eastAsia="仿宋_GB2312"/>
          <w:sz w:val="32"/>
          <w:szCs w:val="32"/>
        </w:rPr>
        <w:t>构架</w:t>
      </w:r>
      <w:r>
        <w:rPr>
          <w:rFonts w:eastAsia="仿宋_GB2312"/>
          <w:sz w:val="32"/>
          <w:szCs w:val="32"/>
        </w:rPr>
        <w:t>。</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三级平台、五级应用：</w:t>
      </w:r>
      <w:r>
        <w:rPr>
          <w:rFonts w:eastAsia="仿宋_GB2312"/>
          <w:sz w:val="32"/>
          <w:szCs w:val="32"/>
        </w:rPr>
        <w:t>市、区（市）县、镇（街道）三级城市运行管理平台建设，并向下延伸至村（社区）、网格形成五级应用，提升城市运行管理能力。</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成都市服务业扩大开放综合试点“4+35”项任务：</w:t>
      </w:r>
      <w:r>
        <w:rPr>
          <w:rFonts w:eastAsia="仿宋_GB2312"/>
          <w:snapToGrid w:val="0"/>
          <w:color w:val="000000"/>
          <w:kern w:val="0"/>
          <w:sz w:val="32"/>
          <w:szCs w:val="32"/>
        </w:rPr>
        <w:t>在成都市服务业扩大开放综合试点中，温江区作为试点任务承接区（市）县，共承担探索建立“两业”融合统计调查制度等4项个性任务，探索科创企业专利保险等35项共性任务。</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“1+7+1”全景产业体系：</w:t>
      </w:r>
      <w:r>
        <w:rPr>
          <w:rFonts w:eastAsia="仿宋_GB2312"/>
          <w:snapToGrid w:val="0"/>
          <w:color w:val="000000"/>
          <w:kern w:val="0"/>
          <w:sz w:val="32"/>
          <w:szCs w:val="32"/>
        </w:rPr>
        <w:t>构建以1大税源型产业（总部经济）、7大赋能型产业（会展经济、勘察设计、检验检测、法律财税、人力资源、现代物流、现代金融）和1大消费型产业（活力新潮消费）为产业全景的“1+7+1”现代商务产业全景体系。</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智改数转：</w:t>
      </w:r>
      <w:r>
        <w:rPr>
          <w:rFonts w:eastAsia="仿宋_GB2312"/>
          <w:snapToGrid w:val="0"/>
          <w:color w:val="000000"/>
          <w:kern w:val="0"/>
          <w:sz w:val="32"/>
          <w:szCs w:val="32"/>
        </w:rPr>
        <w:t>智能化改造和数字化转型。</w:t>
      </w:r>
    </w:p>
    <w:p>
      <w:pPr>
        <w:numPr>
          <w:ilvl w:val="0"/>
          <w:numId w:val="2"/>
        </w:numPr>
        <w:overflowPunct w:val="0"/>
        <w:spacing w:line="574" w:lineRule="exact"/>
        <w:ind w:left="0" w:firstLine="640" w:firstLineChars="200"/>
        <w:rPr>
          <w:rFonts w:eastAsia="仿宋_GB2312"/>
          <w:snapToGrid w:val="0"/>
          <w:color w:val="000000"/>
          <w:kern w:val="0"/>
          <w:sz w:val="32"/>
          <w:szCs w:val="32"/>
        </w:rPr>
      </w:pPr>
      <w:r>
        <w:rPr>
          <w:rFonts w:eastAsia="楷体_GB2312"/>
          <w:snapToGrid w:val="0"/>
          <w:color w:val="000000"/>
          <w:kern w:val="0"/>
          <w:sz w:val="32"/>
          <w:szCs w:val="32"/>
          <w:lang w:val="zh-TW" w:eastAsia="zh-TW"/>
        </w:rPr>
        <w:t>上云用数赋智：</w:t>
      </w:r>
      <w:r>
        <w:rPr>
          <w:rFonts w:eastAsia="仿宋_GB2312"/>
          <w:snapToGrid w:val="0"/>
          <w:color w:val="000000"/>
          <w:kern w:val="0"/>
          <w:sz w:val="32"/>
          <w:szCs w:val="32"/>
        </w:rPr>
        <w:t>“上云”是探索推行普惠型的云服务支持政策；“用数”是在更深层次推进大数据的融合运用；“赋智”是加大对企业智能化改造的支持力度，特别是推进人工智能和实体经济的深度融合。</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三联三共：</w:t>
      </w:r>
      <w:r>
        <w:rPr>
          <w:rFonts w:eastAsia="仿宋_GB2312"/>
          <w:snapToGrid w:val="0"/>
          <w:color w:val="000000"/>
          <w:kern w:val="0"/>
          <w:sz w:val="32"/>
          <w:szCs w:val="32"/>
        </w:rPr>
        <w:t>以统筹规划推进城乡功能联融，以能级跃升推进城乡产业联动，以改革创新推进城乡要素联通，以提升承载促进城乡基础共建，以均衡配置促进城乡服务共享，以党建引领促进城乡社区共治。</w:t>
      </w:r>
    </w:p>
    <w:p>
      <w:pPr>
        <w:numPr>
          <w:ilvl w:val="0"/>
          <w:numId w:val="2"/>
        </w:numPr>
        <w:overflowPunct w:val="0"/>
        <w:spacing w:line="574" w:lineRule="exact"/>
        <w:ind w:left="0" w:firstLine="640" w:firstLineChars="200"/>
        <w:rPr>
          <w:rFonts w:eastAsia="仿宋_GB2312"/>
          <w:snapToGrid w:val="0"/>
          <w:color w:val="000000"/>
          <w:kern w:val="0"/>
          <w:sz w:val="32"/>
          <w:szCs w:val="32"/>
        </w:rPr>
      </w:pPr>
      <w:r>
        <w:rPr>
          <w:rFonts w:eastAsia="楷体_GB2312"/>
          <w:snapToGrid w:val="0"/>
          <w:color w:val="000000"/>
          <w:kern w:val="0"/>
          <w:sz w:val="32"/>
          <w:szCs w:val="32"/>
          <w:lang w:val="zh-TW" w:eastAsia="zh-TW"/>
        </w:rPr>
        <w:t>“两级三类”国土空间规划体系：</w:t>
      </w:r>
      <w:r>
        <w:rPr>
          <w:rFonts w:eastAsia="仿宋_GB2312"/>
          <w:snapToGrid w:val="0"/>
          <w:color w:val="000000"/>
          <w:kern w:val="0"/>
          <w:sz w:val="32"/>
          <w:szCs w:val="32"/>
        </w:rPr>
        <w:t>两级指区、镇（街道）两级总体规划，三类指总体规划、专项规划、详细规划三类规划。</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“一心两带三轴三园”城乡空间发展格局：</w:t>
      </w:r>
      <w:r>
        <w:rPr>
          <w:rFonts w:eastAsia="仿宋_GB2312"/>
          <w:snapToGrid w:val="0"/>
          <w:kern w:val="0"/>
          <w:sz w:val="32"/>
          <w:szCs w:val="32"/>
        </w:rPr>
        <w:t>“一心”指成温高速公路以南的城市集中发展建设区，以光华新城片区和文庙历史城区为核心的城市中心；“两带”指金马河运动休闲消费带和江安河活力新潮消费带；“三轴”指生态融合发展轴，立业协同创新轴和公共服务联络轴；“三园”指现代都市农业发展园区、健康产业集聚园区和现代服务业集聚园区。</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“一核三治四共五美”乡村治理模式：</w:t>
      </w:r>
      <w:r>
        <w:rPr>
          <w:rFonts w:eastAsia="仿宋_GB2312"/>
          <w:snapToGrid w:val="0"/>
          <w:kern w:val="0"/>
          <w:sz w:val="32"/>
          <w:szCs w:val="32"/>
        </w:rPr>
        <w:t>以党建统领为核心，以自治法治德治为抓手，以决策共谋、发展共建、全员共管、成果共享为导向，以水美、田美、林美、院美、生活美为目标的乡村治理模式。</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两高一低：</w:t>
      </w:r>
      <w:r>
        <w:rPr>
          <w:rFonts w:eastAsia="仿宋_GB2312"/>
          <w:snapToGrid w:val="0"/>
          <w:color w:val="000000"/>
          <w:kern w:val="0"/>
          <w:sz w:val="32"/>
          <w:szCs w:val="32"/>
        </w:rPr>
        <w:t>高能耗、高污染、低效益。</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三级公园、五级绿化：</w:t>
      </w:r>
      <w:r>
        <w:rPr>
          <w:rFonts w:eastAsia="仿宋_GB2312"/>
          <w:snapToGrid w:val="0"/>
          <w:color w:val="000000"/>
          <w:kern w:val="0"/>
          <w:sz w:val="32"/>
          <w:szCs w:val="32"/>
        </w:rPr>
        <w:t>三级公园指综合公园、社区公园、小游园微绿地，五级绿化指生态区、绿道、公园、小游园、微绿地。</w:t>
      </w:r>
    </w:p>
    <w:p>
      <w:pPr>
        <w:numPr>
          <w:ilvl w:val="0"/>
          <w:numId w:val="2"/>
        </w:numPr>
        <w:overflowPunct w:val="0"/>
        <w:spacing w:line="574" w:lineRule="exact"/>
        <w:ind w:left="0" w:firstLine="640" w:firstLineChars="200"/>
        <w:rPr>
          <w:rFonts w:eastAsia="仿宋_GB2312"/>
          <w:snapToGrid w:val="0"/>
          <w:color w:val="000000"/>
          <w:kern w:val="0"/>
          <w:sz w:val="32"/>
          <w:szCs w:val="32"/>
        </w:rPr>
      </w:pPr>
      <w:r>
        <w:rPr>
          <w:rFonts w:eastAsia="楷体_GB2312"/>
          <w:snapToGrid w:val="0"/>
          <w:color w:val="000000"/>
          <w:kern w:val="0"/>
          <w:sz w:val="32"/>
          <w:szCs w:val="32"/>
          <w:lang w:val="zh-TW" w:eastAsia="zh-TW"/>
        </w:rPr>
        <w:t>EOD</w:t>
      </w:r>
      <w:r>
        <w:rPr>
          <w:rFonts w:eastAsia="楷体_GB2312"/>
          <w:snapToGrid w:val="0"/>
          <w:color w:val="000000"/>
          <w:kern w:val="0"/>
          <w:sz w:val="36"/>
          <w:szCs w:val="36"/>
          <w:lang w:val="zh-TW" w:eastAsia="zh-TW"/>
        </w:rPr>
        <w:t>：</w:t>
      </w:r>
      <w:r>
        <w:rPr>
          <w:rFonts w:eastAsia="仿宋_GB2312"/>
          <w:snapToGrid w:val="0"/>
          <w:color w:val="000000"/>
          <w:kern w:val="0"/>
          <w:sz w:val="32"/>
          <w:szCs w:val="32"/>
        </w:rPr>
        <w:t>生态环境导向的开发，英文是Eco-environment Oriented Development，是以</w:t>
      </w:r>
      <w:r>
        <w:rPr>
          <w:rFonts w:hint="eastAsia" w:eastAsia="仿宋_GB2312"/>
          <w:snapToGrid w:val="0"/>
          <w:color w:val="000000"/>
          <w:kern w:val="0"/>
          <w:sz w:val="32"/>
          <w:szCs w:val="32"/>
          <w:lang w:val="en-US" w:eastAsia="zh-CN"/>
        </w:rPr>
        <w:t>习近平</w:t>
      </w:r>
      <w:bookmarkStart w:id="0" w:name="_GoBack"/>
      <w:bookmarkEnd w:id="0"/>
      <w:r>
        <w:rPr>
          <w:rFonts w:eastAsia="仿宋_GB2312"/>
          <w:snapToGrid w:val="0"/>
          <w:color w:val="000000"/>
          <w:kern w:val="0"/>
          <w:sz w:val="32"/>
          <w:szCs w:val="32"/>
        </w:rPr>
        <w:t>生态文明思想为引领，以可持续发展为目标，以生态保护和环境治理为基础，以特色产业运营为支撑，以区域综合开发为载体，采取产业链延伸、联合经营、组合开发等方式，推动公益性较强、收益性差的生态环境治理项目与收益较好的关联产业有效融合，统筹推进，一体化实施，将生态环境治理带来的经济价值内部化，是一种创新性的项目组织实施方式。</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GEP：</w:t>
      </w:r>
      <w:r>
        <w:rPr>
          <w:rFonts w:eastAsia="仿宋_GB2312"/>
          <w:snapToGrid w:val="0"/>
          <w:color w:val="000000"/>
          <w:kern w:val="0"/>
          <w:sz w:val="32"/>
          <w:szCs w:val="32"/>
        </w:rPr>
        <w:t>生态系统生产总值，是指一定区域内各类生态系统在核算期内所有生态产品的货币价值之和。</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VOCs：</w:t>
      </w:r>
      <w:r>
        <w:rPr>
          <w:rFonts w:eastAsia="仿宋_GB2312"/>
          <w:snapToGrid w:val="0"/>
          <w:color w:val="000000"/>
          <w:kern w:val="0"/>
          <w:sz w:val="32"/>
          <w:szCs w:val="32"/>
        </w:rPr>
        <w:t>挥发性有机物。</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六个一批：</w:t>
      </w:r>
      <w:r>
        <w:rPr>
          <w:rFonts w:eastAsia="仿宋_GB2312"/>
          <w:snapToGrid w:val="0"/>
          <w:color w:val="000000"/>
          <w:kern w:val="0"/>
          <w:sz w:val="32"/>
          <w:szCs w:val="32"/>
        </w:rPr>
        <w:t>落地投运一批、谋划储备一批、招引洽谈一批、培优育强一批、政策扶持一批、激活提升一批重大项目。</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RCEP：</w:t>
      </w:r>
      <w:r>
        <w:rPr>
          <w:rFonts w:eastAsia="仿宋_GB2312"/>
          <w:snapToGrid w:val="0"/>
          <w:color w:val="000000"/>
          <w:kern w:val="0"/>
          <w:sz w:val="32"/>
          <w:szCs w:val="32"/>
        </w:rPr>
        <w:t>区域全面经济伙伴关系协定。</w:t>
      </w:r>
    </w:p>
    <w:p>
      <w:pPr>
        <w:numPr>
          <w:ilvl w:val="0"/>
          <w:numId w:val="2"/>
        </w:numPr>
        <w:overflowPunct w:val="0"/>
        <w:spacing w:line="574" w:lineRule="exact"/>
        <w:ind w:left="0" w:firstLine="640" w:firstLineChars="200"/>
        <w:rPr>
          <w:rFonts w:eastAsia="仿宋_GB2312"/>
          <w:snapToGrid w:val="0"/>
          <w:color w:val="000000"/>
          <w:kern w:val="0"/>
          <w:sz w:val="32"/>
          <w:szCs w:val="32"/>
        </w:rPr>
      </w:pPr>
      <w:r>
        <w:rPr>
          <w:rFonts w:eastAsia="楷体_GB2312"/>
          <w:snapToGrid w:val="0"/>
          <w:color w:val="000000"/>
          <w:kern w:val="0"/>
          <w:sz w:val="32"/>
          <w:szCs w:val="32"/>
          <w:lang w:val="zh-TW" w:eastAsia="zh-TW"/>
        </w:rPr>
        <w:t>特殊物品出入境“关地协同”监管模式：</w:t>
      </w:r>
      <w:r>
        <w:rPr>
          <w:rFonts w:eastAsia="仿宋_GB2312"/>
          <w:snapToGrid w:val="0"/>
          <w:color w:val="000000"/>
          <w:kern w:val="0"/>
          <w:sz w:val="32"/>
          <w:szCs w:val="32"/>
        </w:rPr>
        <w:t>根据“分级联动、有序推进、协同共治、风险可控、通关便利”原则，开展生物医药特殊物品进出境“关地协同”工作，建立“静态”＋“动态”日常监管协作方式，“口岸”＋“属地”全链条闭环管理模式，“线上”＋“线下”监测应急互助机制，以管促放，实现进出境生物安全风险防控综合管理，使生物医药特殊物品进得来、通得快、管得住。</w:t>
      </w:r>
    </w:p>
    <w:p>
      <w:pPr>
        <w:numPr>
          <w:ilvl w:val="0"/>
          <w:numId w:val="2"/>
        </w:numPr>
        <w:overflowPunct w:val="0"/>
        <w:spacing w:line="574" w:lineRule="exact"/>
        <w:ind w:left="0" w:firstLine="640" w:firstLineChars="200"/>
        <w:rPr>
          <w:rFonts w:eastAsia="仿宋_GB2312"/>
          <w:snapToGrid w:val="0"/>
          <w:color w:val="000000"/>
          <w:kern w:val="0"/>
          <w:sz w:val="32"/>
          <w:szCs w:val="32"/>
        </w:rPr>
      </w:pPr>
      <w:r>
        <w:rPr>
          <w:rFonts w:eastAsia="楷体_GB2312"/>
          <w:snapToGrid w:val="0"/>
          <w:color w:val="000000"/>
          <w:kern w:val="0"/>
          <w:sz w:val="32"/>
          <w:szCs w:val="32"/>
          <w:lang w:val="zh-TW" w:eastAsia="zh-TW"/>
        </w:rPr>
        <w:t>“两段准入”下的“附条件提离”通关模式：</w:t>
      </w:r>
      <w:r>
        <w:rPr>
          <w:rFonts w:eastAsia="仿宋_GB2312"/>
          <w:snapToGrid w:val="0"/>
          <w:color w:val="000000"/>
          <w:kern w:val="0"/>
          <w:sz w:val="32"/>
          <w:szCs w:val="32"/>
        </w:rPr>
        <w:t>指以进口货物检查未见异常且已取样送检后，可根据企业申请，在结果出具前，允许提离进境地口岸海关监管区，存放于符合要求的场所。</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“3+2”清单：</w:t>
      </w:r>
      <w:r>
        <w:rPr>
          <w:rFonts w:eastAsia="仿宋_GB2312"/>
          <w:snapToGrid w:val="0"/>
          <w:color w:val="000000"/>
          <w:kern w:val="0"/>
          <w:sz w:val="32"/>
          <w:szCs w:val="32"/>
        </w:rPr>
        <w:t>不予处罚、减轻处罚、从轻处罚、首违不罚和不予行政强制措施清单。</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工业用地“标准地”制度：</w:t>
      </w:r>
      <w:r>
        <w:rPr>
          <w:rFonts w:eastAsia="仿宋_GB2312"/>
          <w:snapToGrid w:val="0"/>
          <w:color w:val="000000"/>
          <w:kern w:val="0"/>
          <w:sz w:val="32"/>
          <w:szCs w:val="32"/>
        </w:rPr>
        <w:t>在符合国土空间规划和园区规划的前提下，带控制性指标出让的国有建设用地。</w:t>
      </w:r>
    </w:p>
    <w:p>
      <w:pPr>
        <w:numPr>
          <w:ilvl w:val="0"/>
          <w:numId w:val="2"/>
        </w:numPr>
        <w:overflowPunct w:val="0"/>
        <w:spacing w:line="574" w:lineRule="exact"/>
        <w:ind w:left="0" w:firstLine="640" w:firstLineChars="200"/>
        <w:rPr>
          <w:rFonts w:eastAsia="仿宋_GB2312"/>
          <w:snapToGrid w:val="0"/>
          <w:color w:val="000000"/>
          <w:kern w:val="0"/>
          <w:sz w:val="32"/>
          <w:szCs w:val="32"/>
        </w:rPr>
      </w:pPr>
      <w:r>
        <w:rPr>
          <w:rFonts w:eastAsia="楷体_GB2312"/>
          <w:snapToGrid w:val="0"/>
          <w:color w:val="000000"/>
          <w:kern w:val="0"/>
          <w:sz w:val="32"/>
          <w:szCs w:val="32"/>
          <w:lang w:val="zh-TW" w:eastAsia="zh-TW"/>
        </w:rPr>
        <w:t>“1+3+9+N”劳动纠纷多元共治：</w:t>
      </w:r>
      <w:r>
        <w:rPr>
          <w:rFonts w:eastAsia="仿宋_GB2312"/>
          <w:snapToGrid w:val="0"/>
          <w:color w:val="000000"/>
          <w:kern w:val="0"/>
          <w:sz w:val="32"/>
          <w:szCs w:val="32"/>
        </w:rPr>
        <w:t>1个区级联处中心牵头抓总、3个产业园区联处分中心（公平、永宁、成都医学城）重点覆盖、9个镇街协同共治、N个特色化服务站点全域辐射（温江区快递外卖小哥城市驿站、</w:t>
      </w:r>
      <w:r>
        <w:rPr>
          <w:rFonts w:hint="eastAsia" w:eastAsia="仿宋_GB2312"/>
          <w:snapToGrid w:val="0"/>
          <w:color w:val="000000"/>
          <w:kern w:val="0"/>
          <w:sz w:val="32"/>
          <w:szCs w:val="32"/>
        </w:rPr>
        <w:t>货车</w:t>
      </w:r>
      <w:r>
        <w:rPr>
          <w:rFonts w:eastAsia="仿宋_GB2312"/>
          <w:snapToGrid w:val="0"/>
          <w:color w:val="000000"/>
          <w:kern w:val="0"/>
          <w:sz w:val="32"/>
          <w:szCs w:val="32"/>
        </w:rPr>
        <w:t>司机之家职工驿站等）。</w:t>
      </w:r>
    </w:p>
    <w:p>
      <w:pPr>
        <w:numPr>
          <w:ilvl w:val="0"/>
          <w:numId w:val="2"/>
        </w:numPr>
        <w:overflowPunct w:val="0"/>
        <w:spacing w:line="574" w:lineRule="exact"/>
        <w:ind w:left="0" w:firstLine="640" w:firstLineChars="200"/>
        <w:rPr>
          <w:rFonts w:eastAsia="仿宋_GB2312"/>
          <w:sz w:val="32"/>
          <w:szCs w:val="32"/>
        </w:rPr>
      </w:pPr>
      <w:r>
        <w:rPr>
          <w:rFonts w:eastAsia="楷体_GB2312"/>
          <w:snapToGrid w:val="0"/>
          <w:color w:val="000000"/>
          <w:kern w:val="0"/>
          <w:sz w:val="32"/>
          <w:szCs w:val="32"/>
          <w:lang w:val="zh-TW" w:eastAsia="zh-TW"/>
        </w:rPr>
        <w:t>留炼运动场：</w:t>
      </w:r>
      <w:r>
        <w:rPr>
          <w:rFonts w:eastAsia="仿宋_GB2312"/>
          <w:snapToGrid w:val="0"/>
          <w:color w:val="000000"/>
          <w:kern w:val="0"/>
          <w:sz w:val="32"/>
          <w:szCs w:val="32"/>
        </w:rPr>
        <w:t>依托“留灯”文化，赋能学校运动场“一场双门”对外开放标识系统化提升、服务体系标准化提升，可持续运营专业化提升，为市民提供举步可就的“家门口的运动场”。</w:t>
      </w:r>
    </w:p>
    <w:p>
      <w:pPr>
        <w:numPr>
          <w:ilvl w:val="0"/>
          <w:numId w:val="2"/>
        </w:numPr>
        <w:overflowPunct w:val="0"/>
        <w:spacing w:line="574" w:lineRule="exact"/>
        <w:ind w:left="0" w:firstLine="640" w:firstLineChars="200"/>
        <w:rPr>
          <w:rFonts w:eastAsia="仿宋_GB2312"/>
          <w:color w:val="000000"/>
          <w:sz w:val="32"/>
          <w:szCs w:val="32"/>
        </w:rPr>
      </w:pPr>
      <w:r>
        <w:rPr>
          <w:rFonts w:eastAsia="楷体_GB2312"/>
          <w:snapToGrid w:val="0"/>
          <w:color w:val="000000"/>
          <w:kern w:val="0"/>
          <w:sz w:val="32"/>
          <w:szCs w:val="32"/>
          <w:lang w:val="zh-TW" w:eastAsia="zh-TW"/>
        </w:rPr>
        <w:t>一舱两端：</w:t>
      </w:r>
      <w:r>
        <w:rPr>
          <w:rFonts w:eastAsia="仿宋_GB2312"/>
          <w:snapToGrid w:val="0"/>
          <w:color w:val="000000"/>
          <w:kern w:val="0"/>
          <w:sz w:val="32"/>
          <w:szCs w:val="32"/>
        </w:rPr>
        <w:t>一舱指“微网实格”社会治理平台驾驶舱，两端指天府市民云“慧生活”小程序和微网格员“蓉e报”小程序。</w:t>
      </w:r>
    </w:p>
    <w:p>
      <w:pPr>
        <w:overflowPunct w:val="0"/>
        <w:spacing w:line="574" w:lineRule="exact"/>
        <w:ind w:left="420" w:leftChars="200"/>
        <w:rPr>
          <w:rFonts w:eastAsia="方正仿宋简体"/>
          <w:snapToGrid w:val="0"/>
          <w:color w:val="000000"/>
          <w:kern w:val="0"/>
          <w:sz w:val="32"/>
          <w:szCs w:val="32"/>
        </w:rPr>
      </w:pPr>
    </w:p>
    <w:p>
      <w:pPr>
        <w:overflowPunct w:val="0"/>
        <w:spacing w:line="574" w:lineRule="exact"/>
        <w:ind w:left="420" w:leftChars="200"/>
        <w:rPr>
          <w:rFonts w:eastAsia="方正仿宋简体"/>
          <w:snapToGrid w:val="0"/>
          <w:color w:val="000000"/>
          <w:kern w:val="0"/>
          <w:sz w:val="32"/>
          <w:szCs w:val="32"/>
        </w:rPr>
      </w:pPr>
    </w:p>
    <w:p>
      <w:pPr>
        <w:overflowPunct w:val="0"/>
        <w:spacing w:line="900" w:lineRule="exact"/>
        <w:rPr>
          <w:rFonts w:eastAsia="仿宋_GB2312"/>
          <w:color w:val="000000"/>
          <w:sz w:val="32"/>
          <w:szCs w:val="32"/>
        </w:rPr>
      </w:pPr>
    </w:p>
    <w:p>
      <w:pPr>
        <w:overflowPunct w:val="0"/>
        <w:spacing w:line="900" w:lineRule="exact"/>
        <w:rPr>
          <w:rFonts w:eastAsia="仿宋_GB2312"/>
          <w:color w:val="000000"/>
          <w:sz w:val="32"/>
          <w:szCs w:val="32"/>
        </w:rPr>
      </w:pPr>
    </w:p>
    <w:p>
      <w:pPr>
        <w:overflowPunct w:val="0"/>
        <w:spacing w:line="900" w:lineRule="exact"/>
        <w:rPr>
          <w:rFonts w:eastAsia="仿宋_GB2312"/>
          <w:color w:val="000000"/>
          <w:sz w:val="32"/>
          <w:szCs w:val="32"/>
        </w:rPr>
      </w:pPr>
    </w:p>
    <w:p>
      <w:pPr>
        <w:overflowPunct w:val="0"/>
        <w:spacing w:line="900" w:lineRule="exact"/>
        <w:rPr>
          <w:rFonts w:eastAsia="仿宋_GB2312"/>
          <w:color w:val="000000"/>
          <w:szCs w:val="21"/>
        </w:rPr>
      </w:pPr>
    </w:p>
    <w:p>
      <w:pPr>
        <w:overflowPunct w:val="0"/>
        <w:spacing w:line="900" w:lineRule="exact"/>
        <w:rPr>
          <w:rFonts w:eastAsia="仿宋_GB2312"/>
          <w:color w:val="000000"/>
          <w:szCs w:val="21"/>
        </w:rPr>
      </w:pPr>
    </w:p>
    <w:p>
      <w:pPr>
        <w:overflowPunct w:val="0"/>
        <w:spacing w:line="900" w:lineRule="exact"/>
        <w:rPr>
          <w:rFonts w:eastAsia="仿宋_GB2312"/>
          <w:color w:val="000000"/>
          <w:szCs w:val="21"/>
        </w:rPr>
      </w:pPr>
    </w:p>
    <w:p>
      <w:pPr>
        <w:overflowPunct w:val="0"/>
        <w:spacing w:line="900" w:lineRule="exact"/>
        <w:rPr>
          <w:rFonts w:eastAsia="仿宋_GB2312"/>
          <w:color w:val="000000"/>
          <w:szCs w:val="21"/>
        </w:rPr>
      </w:pPr>
    </w:p>
    <w:p>
      <w:pPr>
        <w:overflowPunct w:val="0"/>
        <w:spacing w:line="900" w:lineRule="exact"/>
        <w:rPr>
          <w:rFonts w:eastAsia="仿宋_GB2312"/>
          <w:color w:val="000000"/>
          <w:szCs w:val="21"/>
        </w:rPr>
      </w:pPr>
    </w:p>
    <w:p>
      <w:pPr>
        <w:overflowPunct w:val="0"/>
        <w:spacing w:line="900" w:lineRule="exact"/>
        <w:rPr>
          <w:rFonts w:eastAsia="仿宋_GB2312"/>
          <w:color w:val="000000"/>
          <w:szCs w:val="21"/>
        </w:rPr>
      </w:pPr>
    </w:p>
    <w:sectPr>
      <w:headerReference r:id="rId3" w:type="default"/>
      <w:footerReference r:id="rId5" w:type="default"/>
      <w:headerReference r:id="rId4" w:type="even"/>
      <w:footerReference r:id="rId6" w:type="even"/>
      <w:pgSz w:w="11906" w:h="16838"/>
      <w:pgMar w:top="1928" w:right="1531" w:bottom="1928" w:left="1531" w:header="851" w:footer="1417"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Georgia">
    <w:panose1 w:val="02040502050405020303"/>
    <w:charset w:val="00"/>
    <w:family w:val="roman"/>
    <w:pitch w:val="default"/>
    <w:sig w:usb0="00000287" w:usb1="00000000" w:usb2="00000000" w:usb3="00000000" w:csb0="2000009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tabs>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551D3"/>
    <w:multiLevelType w:val="singleLevel"/>
    <w:tmpl w:val="B59551D3"/>
    <w:lvl w:ilvl="0" w:tentative="0">
      <w:start w:val="1"/>
      <w:numFmt w:val="decimal"/>
      <w:suff w:val="nothing"/>
      <w:lvlText w:val="%1."/>
      <w:lvlJc w:val="left"/>
      <w:pPr>
        <w:ind w:left="425" w:hanging="425"/>
      </w:pPr>
      <w:rPr>
        <w:rFonts w:hint="default"/>
      </w:rPr>
    </w:lvl>
  </w:abstractNum>
  <w:abstractNum w:abstractNumId="1">
    <w:nsid w:val="465D2618"/>
    <w:multiLevelType w:val="singleLevel"/>
    <w:tmpl w:val="465D261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05"/>
  <w:drawingGridVerticalSpacing w:val="156"/>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iMzYxZWVkYjExOTkxNjRhMDMwZjhhY2JhMGQyOTIifQ=="/>
  </w:docVars>
  <w:rsids>
    <w:rsidRoot w:val="00055AEA"/>
    <w:rsid w:val="00001B29"/>
    <w:rsid w:val="0000346A"/>
    <w:rsid w:val="000038AA"/>
    <w:rsid w:val="000150FC"/>
    <w:rsid w:val="00015537"/>
    <w:rsid w:val="0001764B"/>
    <w:rsid w:val="00020183"/>
    <w:rsid w:val="00021481"/>
    <w:rsid w:val="0002228B"/>
    <w:rsid w:val="00022A00"/>
    <w:rsid w:val="00022C26"/>
    <w:rsid w:val="00024424"/>
    <w:rsid w:val="000252EE"/>
    <w:rsid w:val="00025CE5"/>
    <w:rsid w:val="000320E0"/>
    <w:rsid w:val="0003306B"/>
    <w:rsid w:val="0003313D"/>
    <w:rsid w:val="000337FC"/>
    <w:rsid w:val="00034CE8"/>
    <w:rsid w:val="00035DDA"/>
    <w:rsid w:val="00040313"/>
    <w:rsid w:val="000409C6"/>
    <w:rsid w:val="000439DC"/>
    <w:rsid w:val="00044B4C"/>
    <w:rsid w:val="00044FDA"/>
    <w:rsid w:val="000506C2"/>
    <w:rsid w:val="000528B1"/>
    <w:rsid w:val="00053C55"/>
    <w:rsid w:val="000540E9"/>
    <w:rsid w:val="00055AEA"/>
    <w:rsid w:val="000561E3"/>
    <w:rsid w:val="000610B1"/>
    <w:rsid w:val="00062238"/>
    <w:rsid w:val="0006316C"/>
    <w:rsid w:val="00066071"/>
    <w:rsid w:val="00066847"/>
    <w:rsid w:val="0006772C"/>
    <w:rsid w:val="00072732"/>
    <w:rsid w:val="00072A42"/>
    <w:rsid w:val="00073155"/>
    <w:rsid w:val="0007357C"/>
    <w:rsid w:val="0007572C"/>
    <w:rsid w:val="00075876"/>
    <w:rsid w:val="00075DB3"/>
    <w:rsid w:val="000779EE"/>
    <w:rsid w:val="0008059D"/>
    <w:rsid w:val="00081BAC"/>
    <w:rsid w:val="000820AC"/>
    <w:rsid w:val="00083F82"/>
    <w:rsid w:val="0008420E"/>
    <w:rsid w:val="00084424"/>
    <w:rsid w:val="00084A79"/>
    <w:rsid w:val="00084D23"/>
    <w:rsid w:val="00093449"/>
    <w:rsid w:val="00093B5A"/>
    <w:rsid w:val="00095FC6"/>
    <w:rsid w:val="000978E3"/>
    <w:rsid w:val="000A19E9"/>
    <w:rsid w:val="000A3A8A"/>
    <w:rsid w:val="000A3F4E"/>
    <w:rsid w:val="000A414E"/>
    <w:rsid w:val="000A46D9"/>
    <w:rsid w:val="000A4DE8"/>
    <w:rsid w:val="000B0B43"/>
    <w:rsid w:val="000B2AFD"/>
    <w:rsid w:val="000B38CE"/>
    <w:rsid w:val="000B40F2"/>
    <w:rsid w:val="000B7726"/>
    <w:rsid w:val="000C30DE"/>
    <w:rsid w:val="000E6D54"/>
    <w:rsid w:val="000F1237"/>
    <w:rsid w:val="00100568"/>
    <w:rsid w:val="001025B5"/>
    <w:rsid w:val="0010369D"/>
    <w:rsid w:val="00105246"/>
    <w:rsid w:val="00111C4D"/>
    <w:rsid w:val="00111EA8"/>
    <w:rsid w:val="001120DD"/>
    <w:rsid w:val="001160EF"/>
    <w:rsid w:val="0011744B"/>
    <w:rsid w:val="00120CF1"/>
    <w:rsid w:val="00120E4F"/>
    <w:rsid w:val="00126485"/>
    <w:rsid w:val="00127855"/>
    <w:rsid w:val="00131D1F"/>
    <w:rsid w:val="001324D5"/>
    <w:rsid w:val="00133BEF"/>
    <w:rsid w:val="001355BE"/>
    <w:rsid w:val="0013718B"/>
    <w:rsid w:val="0014122A"/>
    <w:rsid w:val="00143A9D"/>
    <w:rsid w:val="001448ED"/>
    <w:rsid w:val="00146727"/>
    <w:rsid w:val="0015047A"/>
    <w:rsid w:val="001545D4"/>
    <w:rsid w:val="001562CB"/>
    <w:rsid w:val="00160A7F"/>
    <w:rsid w:val="00164D4D"/>
    <w:rsid w:val="001659E6"/>
    <w:rsid w:val="0016603B"/>
    <w:rsid w:val="0016604A"/>
    <w:rsid w:val="00166A9B"/>
    <w:rsid w:val="00167E9F"/>
    <w:rsid w:val="00170EF1"/>
    <w:rsid w:val="0017172F"/>
    <w:rsid w:val="001759D4"/>
    <w:rsid w:val="001762B1"/>
    <w:rsid w:val="00177F1B"/>
    <w:rsid w:val="00181330"/>
    <w:rsid w:val="00182F39"/>
    <w:rsid w:val="001852E9"/>
    <w:rsid w:val="00185B33"/>
    <w:rsid w:val="00186505"/>
    <w:rsid w:val="00190109"/>
    <w:rsid w:val="00193A41"/>
    <w:rsid w:val="00194F8E"/>
    <w:rsid w:val="0019564E"/>
    <w:rsid w:val="001A053E"/>
    <w:rsid w:val="001A07DE"/>
    <w:rsid w:val="001A1B08"/>
    <w:rsid w:val="001A2B7D"/>
    <w:rsid w:val="001A3BFD"/>
    <w:rsid w:val="001A4269"/>
    <w:rsid w:val="001A5723"/>
    <w:rsid w:val="001A7B61"/>
    <w:rsid w:val="001B1D24"/>
    <w:rsid w:val="001B1E2E"/>
    <w:rsid w:val="001B214F"/>
    <w:rsid w:val="001B2F63"/>
    <w:rsid w:val="001B3FCF"/>
    <w:rsid w:val="001B61F6"/>
    <w:rsid w:val="001C0597"/>
    <w:rsid w:val="001C104E"/>
    <w:rsid w:val="001C1B1F"/>
    <w:rsid w:val="001C4DCD"/>
    <w:rsid w:val="001C7E72"/>
    <w:rsid w:val="001D3991"/>
    <w:rsid w:val="001D516A"/>
    <w:rsid w:val="001D5C98"/>
    <w:rsid w:val="001D63CE"/>
    <w:rsid w:val="001D6448"/>
    <w:rsid w:val="001D6A3E"/>
    <w:rsid w:val="001D742D"/>
    <w:rsid w:val="001D7C78"/>
    <w:rsid w:val="001E0CAE"/>
    <w:rsid w:val="001E0DA2"/>
    <w:rsid w:val="001E12AF"/>
    <w:rsid w:val="001E3E1B"/>
    <w:rsid w:val="001E66D5"/>
    <w:rsid w:val="001F224B"/>
    <w:rsid w:val="001F3AE3"/>
    <w:rsid w:val="001F42F3"/>
    <w:rsid w:val="001F5F47"/>
    <w:rsid w:val="001F72B3"/>
    <w:rsid w:val="00200495"/>
    <w:rsid w:val="00200AB1"/>
    <w:rsid w:val="00203604"/>
    <w:rsid w:val="002059EC"/>
    <w:rsid w:val="00207648"/>
    <w:rsid w:val="00207674"/>
    <w:rsid w:val="00207C9C"/>
    <w:rsid w:val="002114E0"/>
    <w:rsid w:val="002116FD"/>
    <w:rsid w:val="002117E8"/>
    <w:rsid w:val="002158E9"/>
    <w:rsid w:val="00216362"/>
    <w:rsid w:val="002165CF"/>
    <w:rsid w:val="00216D05"/>
    <w:rsid w:val="00216FC3"/>
    <w:rsid w:val="002229F2"/>
    <w:rsid w:val="002235E8"/>
    <w:rsid w:val="00225D76"/>
    <w:rsid w:val="00225DF6"/>
    <w:rsid w:val="00225E4A"/>
    <w:rsid w:val="0023012A"/>
    <w:rsid w:val="0023052E"/>
    <w:rsid w:val="00231929"/>
    <w:rsid w:val="00232EF7"/>
    <w:rsid w:val="00233509"/>
    <w:rsid w:val="00234049"/>
    <w:rsid w:val="00235957"/>
    <w:rsid w:val="002362B8"/>
    <w:rsid w:val="00236750"/>
    <w:rsid w:val="00237CB2"/>
    <w:rsid w:val="00237F61"/>
    <w:rsid w:val="00246343"/>
    <w:rsid w:val="00247135"/>
    <w:rsid w:val="00247A3F"/>
    <w:rsid w:val="00255778"/>
    <w:rsid w:val="0025588B"/>
    <w:rsid w:val="0026228F"/>
    <w:rsid w:val="00263F32"/>
    <w:rsid w:val="00264958"/>
    <w:rsid w:val="00266C26"/>
    <w:rsid w:val="00274E69"/>
    <w:rsid w:val="00277BF4"/>
    <w:rsid w:val="002801AD"/>
    <w:rsid w:val="002810DC"/>
    <w:rsid w:val="00281931"/>
    <w:rsid w:val="002848ED"/>
    <w:rsid w:val="0029011A"/>
    <w:rsid w:val="002908A0"/>
    <w:rsid w:val="00290DAE"/>
    <w:rsid w:val="00291D24"/>
    <w:rsid w:val="0029274A"/>
    <w:rsid w:val="00293B8D"/>
    <w:rsid w:val="00294C40"/>
    <w:rsid w:val="002953CE"/>
    <w:rsid w:val="002A4365"/>
    <w:rsid w:val="002A4C16"/>
    <w:rsid w:val="002A6D42"/>
    <w:rsid w:val="002A737D"/>
    <w:rsid w:val="002B2CD7"/>
    <w:rsid w:val="002B33F4"/>
    <w:rsid w:val="002B347F"/>
    <w:rsid w:val="002B35E7"/>
    <w:rsid w:val="002B4A6A"/>
    <w:rsid w:val="002C14E4"/>
    <w:rsid w:val="002C1A1F"/>
    <w:rsid w:val="002C1CBD"/>
    <w:rsid w:val="002C2EDF"/>
    <w:rsid w:val="002C36CB"/>
    <w:rsid w:val="002C3782"/>
    <w:rsid w:val="002C5440"/>
    <w:rsid w:val="002C75CD"/>
    <w:rsid w:val="002C7FC1"/>
    <w:rsid w:val="002D3856"/>
    <w:rsid w:val="002D4183"/>
    <w:rsid w:val="002D4373"/>
    <w:rsid w:val="002D4A3B"/>
    <w:rsid w:val="002D4E39"/>
    <w:rsid w:val="002E0812"/>
    <w:rsid w:val="002E0B75"/>
    <w:rsid w:val="002E206B"/>
    <w:rsid w:val="002E2AD6"/>
    <w:rsid w:val="002E485D"/>
    <w:rsid w:val="002E6B3D"/>
    <w:rsid w:val="002E6F68"/>
    <w:rsid w:val="002F07B3"/>
    <w:rsid w:val="002F0F03"/>
    <w:rsid w:val="002F11F5"/>
    <w:rsid w:val="002F568E"/>
    <w:rsid w:val="002F6942"/>
    <w:rsid w:val="00303B2C"/>
    <w:rsid w:val="0031015A"/>
    <w:rsid w:val="00312DF9"/>
    <w:rsid w:val="00316FC0"/>
    <w:rsid w:val="0031704F"/>
    <w:rsid w:val="003202FA"/>
    <w:rsid w:val="00321C8F"/>
    <w:rsid w:val="00321FFD"/>
    <w:rsid w:val="003223AE"/>
    <w:rsid w:val="00323EB9"/>
    <w:rsid w:val="00326853"/>
    <w:rsid w:val="00327F8F"/>
    <w:rsid w:val="00330636"/>
    <w:rsid w:val="00330678"/>
    <w:rsid w:val="00332287"/>
    <w:rsid w:val="00334800"/>
    <w:rsid w:val="003354F1"/>
    <w:rsid w:val="00337784"/>
    <w:rsid w:val="00343950"/>
    <w:rsid w:val="0034768E"/>
    <w:rsid w:val="003515C6"/>
    <w:rsid w:val="00357405"/>
    <w:rsid w:val="003666F6"/>
    <w:rsid w:val="00367D53"/>
    <w:rsid w:val="00370C32"/>
    <w:rsid w:val="0037251C"/>
    <w:rsid w:val="00375419"/>
    <w:rsid w:val="00375807"/>
    <w:rsid w:val="00382AB6"/>
    <w:rsid w:val="0038424C"/>
    <w:rsid w:val="003861C9"/>
    <w:rsid w:val="00386B38"/>
    <w:rsid w:val="00386FF6"/>
    <w:rsid w:val="00390126"/>
    <w:rsid w:val="003936B0"/>
    <w:rsid w:val="00394BB9"/>
    <w:rsid w:val="0039659C"/>
    <w:rsid w:val="003969C9"/>
    <w:rsid w:val="003A21C1"/>
    <w:rsid w:val="003A2EEF"/>
    <w:rsid w:val="003A7335"/>
    <w:rsid w:val="003A749C"/>
    <w:rsid w:val="003B1071"/>
    <w:rsid w:val="003B10A4"/>
    <w:rsid w:val="003B21A6"/>
    <w:rsid w:val="003B33C3"/>
    <w:rsid w:val="003B5362"/>
    <w:rsid w:val="003B57BF"/>
    <w:rsid w:val="003B64E8"/>
    <w:rsid w:val="003B6921"/>
    <w:rsid w:val="003B6927"/>
    <w:rsid w:val="003C013F"/>
    <w:rsid w:val="003C168E"/>
    <w:rsid w:val="003C1FF6"/>
    <w:rsid w:val="003C56BD"/>
    <w:rsid w:val="003C66E9"/>
    <w:rsid w:val="003D0A6B"/>
    <w:rsid w:val="003D26E3"/>
    <w:rsid w:val="003D50EE"/>
    <w:rsid w:val="003D62DF"/>
    <w:rsid w:val="003D63C5"/>
    <w:rsid w:val="003D66E5"/>
    <w:rsid w:val="003D68E9"/>
    <w:rsid w:val="003D7CE7"/>
    <w:rsid w:val="003D7F33"/>
    <w:rsid w:val="003F3C4B"/>
    <w:rsid w:val="003F3EC2"/>
    <w:rsid w:val="003F597D"/>
    <w:rsid w:val="003F6100"/>
    <w:rsid w:val="0040284A"/>
    <w:rsid w:val="00402D47"/>
    <w:rsid w:val="004035A0"/>
    <w:rsid w:val="00404AEE"/>
    <w:rsid w:val="00405C86"/>
    <w:rsid w:val="00407AAB"/>
    <w:rsid w:val="00407E04"/>
    <w:rsid w:val="0041238D"/>
    <w:rsid w:val="00413D8D"/>
    <w:rsid w:val="004143B9"/>
    <w:rsid w:val="00414F18"/>
    <w:rsid w:val="00431285"/>
    <w:rsid w:val="0043450B"/>
    <w:rsid w:val="00435D15"/>
    <w:rsid w:val="00441183"/>
    <w:rsid w:val="00442460"/>
    <w:rsid w:val="0044492B"/>
    <w:rsid w:val="00444F14"/>
    <w:rsid w:val="00446A3C"/>
    <w:rsid w:val="00447974"/>
    <w:rsid w:val="004508F7"/>
    <w:rsid w:val="004543BC"/>
    <w:rsid w:val="0045653F"/>
    <w:rsid w:val="00463FB8"/>
    <w:rsid w:val="004644F4"/>
    <w:rsid w:val="00465425"/>
    <w:rsid w:val="00467812"/>
    <w:rsid w:val="0047058D"/>
    <w:rsid w:val="0047657D"/>
    <w:rsid w:val="004766C9"/>
    <w:rsid w:val="00480A2E"/>
    <w:rsid w:val="00484DC2"/>
    <w:rsid w:val="0049019D"/>
    <w:rsid w:val="00493C73"/>
    <w:rsid w:val="004A07BF"/>
    <w:rsid w:val="004A2C2B"/>
    <w:rsid w:val="004A4CA0"/>
    <w:rsid w:val="004A5DF3"/>
    <w:rsid w:val="004A7A54"/>
    <w:rsid w:val="004B5196"/>
    <w:rsid w:val="004C3E1F"/>
    <w:rsid w:val="004C6CB7"/>
    <w:rsid w:val="004C705A"/>
    <w:rsid w:val="004C7C1D"/>
    <w:rsid w:val="004D2B04"/>
    <w:rsid w:val="004D3E2F"/>
    <w:rsid w:val="004D4F15"/>
    <w:rsid w:val="004D55DD"/>
    <w:rsid w:val="004E404B"/>
    <w:rsid w:val="004E53A8"/>
    <w:rsid w:val="004F06A2"/>
    <w:rsid w:val="004F67BD"/>
    <w:rsid w:val="004F6E14"/>
    <w:rsid w:val="004F7A04"/>
    <w:rsid w:val="005018C7"/>
    <w:rsid w:val="0050258B"/>
    <w:rsid w:val="00505B48"/>
    <w:rsid w:val="00510A96"/>
    <w:rsid w:val="0051222F"/>
    <w:rsid w:val="005141C0"/>
    <w:rsid w:val="005153B9"/>
    <w:rsid w:val="00516AEB"/>
    <w:rsid w:val="00520BA9"/>
    <w:rsid w:val="00522D79"/>
    <w:rsid w:val="005230D5"/>
    <w:rsid w:val="00523EC2"/>
    <w:rsid w:val="00525B52"/>
    <w:rsid w:val="00530635"/>
    <w:rsid w:val="00530871"/>
    <w:rsid w:val="005363CE"/>
    <w:rsid w:val="0053718C"/>
    <w:rsid w:val="005373B4"/>
    <w:rsid w:val="00537844"/>
    <w:rsid w:val="005379E8"/>
    <w:rsid w:val="0054411D"/>
    <w:rsid w:val="00544244"/>
    <w:rsid w:val="00544F03"/>
    <w:rsid w:val="00546480"/>
    <w:rsid w:val="00547F69"/>
    <w:rsid w:val="005523A3"/>
    <w:rsid w:val="00554EA4"/>
    <w:rsid w:val="00555368"/>
    <w:rsid w:val="00556CC8"/>
    <w:rsid w:val="005577AD"/>
    <w:rsid w:val="00557F64"/>
    <w:rsid w:val="00564349"/>
    <w:rsid w:val="00566115"/>
    <w:rsid w:val="00566A03"/>
    <w:rsid w:val="00566F9C"/>
    <w:rsid w:val="0056721A"/>
    <w:rsid w:val="005706BB"/>
    <w:rsid w:val="00571C55"/>
    <w:rsid w:val="005723B5"/>
    <w:rsid w:val="005733F1"/>
    <w:rsid w:val="00574116"/>
    <w:rsid w:val="00575522"/>
    <w:rsid w:val="005764C2"/>
    <w:rsid w:val="00584490"/>
    <w:rsid w:val="00585384"/>
    <w:rsid w:val="0058652E"/>
    <w:rsid w:val="00587A87"/>
    <w:rsid w:val="00587DFA"/>
    <w:rsid w:val="00591304"/>
    <w:rsid w:val="00591366"/>
    <w:rsid w:val="0059258D"/>
    <w:rsid w:val="0059265D"/>
    <w:rsid w:val="005931CD"/>
    <w:rsid w:val="00593848"/>
    <w:rsid w:val="00593EC1"/>
    <w:rsid w:val="005953D2"/>
    <w:rsid w:val="00595462"/>
    <w:rsid w:val="005956DA"/>
    <w:rsid w:val="005975AC"/>
    <w:rsid w:val="00597750"/>
    <w:rsid w:val="00597803"/>
    <w:rsid w:val="00597836"/>
    <w:rsid w:val="005A3A46"/>
    <w:rsid w:val="005A542A"/>
    <w:rsid w:val="005A5EBB"/>
    <w:rsid w:val="005A62EA"/>
    <w:rsid w:val="005B75F0"/>
    <w:rsid w:val="005C38A2"/>
    <w:rsid w:val="005C6FD5"/>
    <w:rsid w:val="005D0C24"/>
    <w:rsid w:val="005D1C60"/>
    <w:rsid w:val="005D2BD0"/>
    <w:rsid w:val="005D6712"/>
    <w:rsid w:val="005D6F3D"/>
    <w:rsid w:val="005E06B5"/>
    <w:rsid w:val="005E2CC5"/>
    <w:rsid w:val="005E4C67"/>
    <w:rsid w:val="005E6AB6"/>
    <w:rsid w:val="005F5EFC"/>
    <w:rsid w:val="005F6A6E"/>
    <w:rsid w:val="00606E8A"/>
    <w:rsid w:val="006071B0"/>
    <w:rsid w:val="00607790"/>
    <w:rsid w:val="006100FC"/>
    <w:rsid w:val="0061158B"/>
    <w:rsid w:val="00612FA9"/>
    <w:rsid w:val="00613B85"/>
    <w:rsid w:val="00614A4C"/>
    <w:rsid w:val="006203B3"/>
    <w:rsid w:val="00625721"/>
    <w:rsid w:val="00625B26"/>
    <w:rsid w:val="00627411"/>
    <w:rsid w:val="00634BD7"/>
    <w:rsid w:val="006369FB"/>
    <w:rsid w:val="00640D42"/>
    <w:rsid w:val="006411D8"/>
    <w:rsid w:val="00643C2E"/>
    <w:rsid w:val="0064793C"/>
    <w:rsid w:val="00647F77"/>
    <w:rsid w:val="00654859"/>
    <w:rsid w:val="006575D2"/>
    <w:rsid w:val="006609A7"/>
    <w:rsid w:val="0066662E"/>
    <w:rsid w:val="00666E90"/>
    <w:rsid w:val="00667285"/>
    <w:rsid w:val="0066792D"/>
    <w:rsid w:val="0067043E"/>
    <w:rsid w:val="00670ADB"/>
    <w:rsid w:val="00671221"/>
    <w:rsid w:val="0067125A"/>
    <w:rsid w:val="006725BB"/>
    <w:rsid w:val="00676D63"/>
    <w:rsid w:val="0068151A"/>
    <w:rsid w:val="00681D31"/>
    <w:rsid w:val="00681E5F"/>
    <w:rsid w:val="00682B23"/>
    <w:rsid w:val="00683CF9"/>
    <w:rsid w:val="00684DF6"/>
    <w:rsid w:val="0069130D"/>
    <w:rsid w:val="006914AE"/>
    <w:rsid w:val="00693AA3"/>
    <w:rsid w:val="00694239"/>
    <w:rsid w:val="00697129"/>
    <w:rsid w:val="0069733F"/>
    <w:rsid w:val="006A1C7A"/>
    <w:rsid w:val="006A5AB2"/>
    <w:rsid w:val="006A6D91"/>
    <w:rsid w:val="006A721D"/>
    <w:rsid w:val="006B1AE1"/>
    <w:rsid w:val="006B1F06"/>
    <w:rsid w:val="006B4FDA"/>
    <w:rsid w:val="006C0265"/>
    <w:rsid w:val="006C210C"/>
    <w:rsid w:val="006C44BD"/>
    <w:rsid w:val="006C572C"/>
    <w:rsid w:val="006C5970"/>
    <w:rsid w:val="006C5B99"/>
    <w:rsid w:val="006C674B"/>
    <w:rsid w:val="006D1544"/>
    <w:rsid w:val="006D2483"/>
    <w:rsid w:val="006D6101"/>
    <w:rsid w:val="006E60A7"/>
    <w:rsid w:val="006E7301"/>
    <w:rsid w:val="006F11B0"/>
    <w:rsid w:val="006F1433"/>
    <w:rsid w:val="006F34A8"/>
    <w:rsid w:val="006F4004"/>
    <w:rsid w:val="006F6146"/>
    <w:rsid w:val="00700E5C"/>
    <w:rsid w:val="00702B19"/>
    <w:rsid w:val="00702F95"/>
    <w:rsid w:val="00705768"/>
    <w:rsid w:val="0070708D"/>
    <w:rsid w:val="00710175"/>
    <w:rsid w:val="00714E26"/>
    <w:rsid w:val="00716EA9"/>
    <w:rsid w:val="00717669"/>
    <w:rsid w:val="00717A88"/>
    <w:rsid w:val="00725BD7"/>
    <w:rsid w:val="0072687B"/>
    <w:rsid w:val="00727A78"/>
    <w:rsid w:val="00732D97"/>
    <w:rsid w:val="007341C2"/>
    <w:rsid w:val="007351DC"/>
    <w:rsid w:val="00736708"/>
    <w:rsid w:val="0073692C"/>
    <w:rsid w:val="00736B39"/>
    <w:rsid w:val="00740946"/>
    <w:rsid w:val="007414C7"/>
    <w:rsid w:val="007421FC"/>
    <w:rsid w:val="0074272F"/>
    <w:rsid w:val="00742B8C"/>
    <w:rsid w:val="00744FDE"/>
    <w:rsid w:val="0074684F"/>
    <w:rsid w:val="007504E9"/>
    <w:rsid w:val="00750E51"/>
    <w:rsid w:val="007538D1"/>
    <w:rsid w:val="007563C6"/>
    <w:rsid w:val="00756543"/>
    <w:rsid w:val="00756790"/>
    <w:rsid w:val="00760B3B"/>
    <w:rsid w:val="00762724"/>
    <w:rsid w:val="00762CA6"/>
    <w:rsid w:val="007636AD"/>
    <w:rsid w:val="00763A98"/>
    <w:rsid w:val="0076791A"/>
    <w:rsid w:val="00773407"/>
    <w:rsid w:val="00774572"/>
    <w:rsid w:val="00782CEE"/>
    <w:rsid w:val="0078310D"/>
    <w:rsid w:val="00783F66"/>
    <w:rsid w:val="00785166"/>
    <w:rsid w:val="007856BF"/>
    <w:rsid w:val="00785E94"/>
    <w:rsid w:val="0078650D"/>
    <w:rsid w:val="00787243"/>
    <w:rsid w:val="00792736"/>
    <w:rsid w:val="00792EB4"/>
    <w:rsid w:val="00793DB4"/>
    <w:rsid w:val="00794751"/>
    <w:rsid w:val="007A0C86"/>
    <w:rsid w:val="007A2790"/>
    <w:rsid w:val="007A5ED1"/>
    <w:rsid w:val="007B0A35"/>
    <w:rsid w:val="007B2AFB"/>
    <w:rsid w:val="007B3777"/>
    <w:rsid w:val="007B59B8"/>
    <w:rsid w:val="007C11B1"/>
    <w:rsid w:val="007C3B98"/>
    <w:rsid w:val="007C4E00"/>
    <w:rsid w:val="007C6848"/>
    <w:rsid w:val="007C71D9"/>
    <w:rsid w:val="007D08EE"/>
    <w:rsid w:val="007D1BE9"/>
    <w:rsid w:val="007D264C"/>
    <w:rsid w:val="007D2F3D"/>
    <w:rsid w:val="007E040F"/>
    <w:rsid w:val="007E14CE"/>
    <w:rsid w:val="007E27CE"/>
    <w:rsid w:val="007E350D"/>
    <w:rsid w:val="007E6510"/>
    <w:rsid w:val="007E776B"/>
    <w:rsid w:val="007F145C"/>
    <w:rsid w:val="007F1C36"/>
    <w:rsid w:val="007F301A"/>
    <w:rsid w:val="007F4C41"/>
    <w:rsid w:val="007F6A28"/>
    <w:rsid w:val="00801504"/>
    <w:rsid w:val="00804120"/>
    <w:rsid w:val="00806103"/>
    <w:rsid w:val="00806303"/>
    <w:rsid w:val="00812ACC"/>
    <w:rsid w:val="008150B4"/>
    <w:rsid w:val="0081519A"/>
    <w:rsid w:val="00817F3B"/>
    <w:rsid w:val="00820391"/>
    <w:rsid w:val="0082264F"/>
    <w:rsid w:val="008235C4"/>
    <w:rsid w:val="008261C1"/>
    <w:rsid w:val="008275DB"/>
    <w:rsid w:val="0083004F"/>
    <w:rsid w:val="00831AF8"/>
    <w:rsid w:val="00832914"/>
    <w:rsid w:val="0083450C"/>
    <w:rsid w:val="00836097"/>
    <w:rsid w:val="008366FE"/>
    <w:rsid w:val="00836A4D"/>
    <w:rsid w:val="00836EE7"/>
    <w:rsid w:val="008402A0"/>
    <w:rsid w:val="00840EB1"/>
    <w:rsid w:val="008427F6"/>
    <w:rsid w:val="00842840"/>
    <w:rsid w:val="00844EBD"/>
    <w:rsid w:val="00845115"/>
    <w:rsid w:val="00845847"/>
    <w:rsid w:val="008475CB"/>
    <w:rsid w:val="008550D6"/>
    <w:rsid w:val="008624D7"/>
    <w:rsid w:val="00863450"/>
    <w:rsid w:val="00863849"/>
    <w:rsid w:val="00870126"/>
    <w:rsid w:val="00870C67"/>
    <w:rsid w:val="00871E26"/>
    <w:rsid w:val="008720BF"/>
    <w:rsid w:val="00872150"/>
    <w:rsid w:val="008757CA"/>
    <w:rsid w:val="00877D10"/>
    <w:rsid w:val="00880191"/>
    <w:rsid w:val="008804A0"/>
    <w:rsid w:val="00880B19"/>
    <w:rsid w:val="008822FF"/>
    <w:rsid w:val="00884360"/>
    <w:rsid w:val="00885EFB"/>
    <w:rsid w:val="0089164D"/>
    <w:rsid w:val="008928F5"/>
    <w:rsid w:val="00894DF4"/>
    <w:rsid w:val="00895A8A"/>
    <w:rsid w:val="00897F33"/>
    <w:rsid w:val="008A01A2"/>
    <w:rsid w:val="008A049F"/>
    <w:rsid w:val="008A09E1"/>
    <w:rsid w:val="008A1197"/>
    <w:rsid w:val="008A2263"/>
    <w:rsid w:val="008A272E"/>
    <w:rsid w:val="008A28F3"/>
    <w:rsid w:val="008A3424"/>
    <w:rsid w:val="008A4200"/>
    <w:rsid w:val="008A6752"/>
    <w:rsid w:val="008A6BF8"/>
    <w:rsid w:val="008A6D25"/>
    <w:rsid w:val="008B02D0"/>
    <w:rsid w:val="008B0E43"/>
    <w:rsid w:val="008B23B0"/>
    <w:rsid w:val="008B5AEE"/>
    <w:rsid w:val="008B6A7A"/>
    <w:rsid w:val="008C0AE6"/>
    <w:rsid w:val="008C2630"/>
    <w:rsid w:val="008C383F"/>
    <w:rsid w:val="008C41E1"/>
    <w:rsid w:val="008C5464"/>
    <w:rsid w:val="008C6264"/>
    <w:rsid w:val="008D2DE1"/>
    <w:rsid w:val="008D3ACA"/>
    <w:rsid w:val="008D3E58"/>
    <w:rsid w:val="008D4E23"/>
    <w:rsid w:val="008D4E7F"/>
    <w:rsid w:val="008D732B"/>
    <w:rsid w:val="008F2355"/>
    <w:rsid w:val="008F257E"/>
    <w:rsid w:val="008F27E3"/>
    <w:rsid w:val="008F29F6"/>
    <w:rsid w:val="008F3795"/>
    <w:rsid w:val="008F3908"/>
    <w:rsid w:val="008F3BAE"/>
    <w:rsid w:val="0090102D"/>
    <w:rsid w:val="009016D8"/>
    <w:rsid w:val="009021AB"/>
    <w:rsid w:val="00903105"/>
    <w:rsid w:val="00904C18"/>
    <w:rsid w:val="00905B1B"/>
    <w:rsid w:val="009113FB"/>
    <w:rsid w:val="00915084"/>
    <w:rsid w:val="00921858"/>
    <w:rsid w:val="00922F55"/>
    <w:rsid w:val="00924DB1"/>
    <w:rsid w:val="00926921"/>
    <w:rsid w:val="009279DC"/>
    <w:rsid w:val="00930A90"/>
    <w:rsid w:val="00931F12"/>
    <w:rsid w:val="009378B1"/>
    <w:rsid w:val="00937B47"/>
    <w:rsid w:val="00937B83"/>
    <w:rsid w:val="00940EFE"/>
    <w:rsid w:val="009421F9"/>
    <w:rsid w:val="00942283"/>
    <w:rsid w:val="00945455"/>
    <w:rsid w:val="009469C1"/>
    <w:rsid w:val="009474DF"/>
    <w:rsid w:val="00950E23"/>
    <w:rsid w:val="00953185"/>
    <w:rsid w:val="0095422C"/>
    <w:rsid w:val="00955DC4"/>
    <w:rsid w:val="009564C6"/>
    <w:rsid w:val="009568DB"/>
    <w:rsid w:val="00957B8F"/>
    <w:rsid w:val="00961FFB"/>
    <w:rsid w:val="00964733"/>
    <w:rsid w:val="00970C5A"/>
    <w:rsid w:val="0097696C"/>
    <w:rsid w:val="00977CA4"/>
    <w:rsid w:val="009802F9"/>
    <w:rsid w:val="0098250E"/>
    <w:rsid w:val="00983D7C"/>
    <w:rsid w:val="00984EB9"/>
    <w:rsid w:val="009864D3"/>
    <w:rsid w:val="00986541"/>
    <w:rsid w:val="009915F3"/>
    <w:rsid w:val="009916B9"/>
    <w:rsid w:val="00993A6D"/>
    <w:rsid w:val="009944DB"/>
    <w:rsid w:val="009948A1"/>
    <w:rsid w:val="00995416"/>
    <w:rsid w:val="009A3951"/>
    <w:rsid w:val="009A77DF"/>
    <w:rsid w:val="009B130E"/>
    <w:rsid w:val="009B24B7"/>
    <w:rsid w:val="009B2B43"/>
    <w:rsid w:val="009B443C"/>
    <w:rsid w:val="009B4E24"/>
    <w:rsid w:val="009B50A9"/>
    <w:rsid w:val="009B512C"/>
    <w:rsid w:val="009C10A5"/>
    <w:rsid w:val="009C2D75"/>
    <w:rsid w:val="009C511E"/>
    <w:rsid w:val="009C5BF7"/>
    <w:rsid w:val="009C6E02"/>
    <w:rsid w:val="009D3583"/>
    <w:rsid w:val="009D3C96"/>
    <w:rsid w:val="009D5512"/>
    <w:rsid w:val="009D68E3"/>
    <w:rsid w:val="009E332F"/>
    <w:rsid w:val="009E5A61"/>
    <w:rsid w:val="009E6A39"/>
    <w:rsid w:val="009E77BD"/>
    <w:rsid w:val="009E7E87"/>
    <w:rsid w:val="009F0C0C"/>
    <w:rsid w:val="009F13F2"/>
    <w:rsid w:val="009F6783"/>
    <w:rsid w:val="00A03EB9"/>
    <w:rsid w:val="00A1307B"/>
    <w:rsid w:val="00A15353"/>
    <w:rsid w:val="00A164B8"/>
    <w:rsid w:val="00A166AE"/>
    <w:rsid w:val="00A20AF0"/>
    <w:rsid w:val="00A25605"/>
    <w:rsid w:val="00A26904"/>
    <w:rsid w:val="00A30F10"/>
    <w:rsid w:val="00A3198D"/>
    <w:rsid w:val="00A319FF"/>
    <w:rsid w:val="00A33959"/>
    <w:rsid w:val="00A437D5"/>
    <w:rsid w:val="00A4480B"/>
    <w:rsid w:val="00A44EF2"/>
    <w:rsid w:val="00A50352"/>
    <w:rsid w:val="00A509A6"/>
    <w:rsid w:val="00A512B0"/>
    <w:rsid w:val="00A5141C"/>
    <w:rsid w:val="00A54253"/>
    <w:rsid w:val="00A573C7"/>
    <w:rsid w:val="00A618F5"/>
    <w:rsid w:val="00A61FB9"/>
    <w:rsid w:val="00A628DD"/>
    <w:rsid w:val="00A63CAC"/>
    <w:rsid w:val="00A6427B"/>
    <w:rsid w:val="00A6557B"/>
    <w:rsid w:val="00A67D76"/>
    <w:rsid w:val="00A72560"/>
    <w:rsid w:val="00A74BA3"/>
    <w:rsid w:val="00A759C9"/>
    <w:rsid w:val="00A764D6"/>
    <w:rsid w:val="00A76912"/>
    <w:rsid w:val="00A77B99"/>
    <w:rsid w:val="00A77CE2"/>
    <w:rsid w:val="00A83475"/>
    <w:rsid w:val="00A8474B"/>
    <w:rsid w:val="00A869C0"/>
    <w:rsid w:val="00A87A3E"/>
    <w:rsid w:val="00A9047E"/>
    <w:rsid w:val="00A91A61"/>
    <w:rsid w:val="00A933B2"/>
    <w:rsid w:val="00A93BAF"/>
    <w:rsid w:val="00A955EC"/>
    <w:rsid w:val="00A96659"/>
    <w:rsid w:val="00A96BAD"/>
    <w:rsid w:val="00AA205E"/>
    <w:rsid w:val="00AA255A"/>
    <w:rsid w:val="00AA27E6"/>
    <w:rsid w:val="00AA2B63"/>
    <w:rsid w:val="00AA36F8"/>
    <w:rsid w:val="00AA6984"/>
    <w:rsid w:val="00AA719A"/>
    <w:rsid w:val="00AB2577"/>
    <w:rsid w:val="00AB6324"/>
    <w:rsid w:val="00AB675F"/>
    <w:rsid w:val="00AB7CD6"/>
    <w:rsid w:val="00AC0A26"/>
    <w:rsid w:val="00AC0B52"/>
    <w:rsid w:val="00AC229A"/>
    <w:rsid w:val="00AC304F"/>
    <w:rsid w:val="00AC34AF"/>
    <w:rsid w:val="00AC417B"/>
    <w:rsid w:val="00AC4D66"/>
    <w:rsid w:val="00AC5F2B"/>
    <w:rsid w:val="00AC6A2D"/>
    <w:rsid w:val="00AC75B0"/>
    <w:rsid w:val="00AC7D26"/>
    <w:rsid w:val="00AD3F17"/>
    <w:rsid w:val="00AD40AC"/>
    <w:rsid w:val="00AD4DCD"/>
    <w:rsid w:val="00AD5B84"/>
    <w:rsid w:val="00AD6FBB"/>
    <w:rsid w:val="00AD7CCE"/>
    <w:rsid w:val="00AD7F27"/>
    <w:rsid w:val="00AE1A29"/>
    <w:rsid w:val="00AE432B"/>
    <w:rsid w:val="00AE48D2"/>
    <w:rsid w:val="00AE6589"/>
    <w:rsid w:val="00AE668F"/>
    <w:rsid w:val="00AE6791"/>
    <w:rsid w:val="00AE7AB3"/>
    <w:rsid w:val="00AF3644"/>
    <w:rsid w:val="00AF4411"/>
    <w:rsid w:val="00AF450C"/>
    <w:rsid w:val="00AF631E"/>
    <w:rsid w:val="00AF65D2"/>
    <w:rsid w:val="00B00124"/>
    <w:rsid w:val="00B0120A"/>
    <w:rsid w:val="00B01B8C"/>
    <w:rsid w:val="00B023A2"/>
    <w:rsid w:val="00B04618"/>
    <w:rsid w:val="00B05E9C"/>
    <w:rsid w:val="00B113A8"/>
    <w:rsid w:val="00B118FA"/>
    <w:rsid w:val="00B1668A"/>
    <w:rsid w:val="00B17908"/>
    <w:rsid w:val="00B20B6E"/>
    <w:rsid w:val="00B23B62"/>
    <w:rsid w:val="00B24A93"/>
    <w:rsid w:val="00B26096"/>
    <w:rsid w:val="00B26E04"/>
    <w:rsid w:val="00B26E84"/>
    <w:rsid w:val="00B302F1"/>
    <w:rsid w:val="00B315F6"/>
    <w:rsid w:val="00B3411E"/>
    <w:rsid w:val="00B36250"/>
    <w:rsid w:val="00B363DE"/>
    <w:rsid w:val="00B36F86"/>
    <w:rsid w:val="00B41E75"/>
    <w:rsid w:val="00B44AC2"/>
    <w:rsid w:val="00B4502E"/>
    <w:rsid w:val="00B4533C"/>
    <w:rsid w:val="00B46E4F"/>
    <w:rsid w:val="00B47DEE"/>
    <w:rsid w:val="00B50149"/>
    <w:rsid w:val="00B51ACA"/>
    <w:rsid w:val="00B52C26"/>
    <w:rsid w:val="00B53A44"/>
    <w:rsid w:val="00B56245"/>
    <w:rsid w:val="00B56E61"/>
    <w:rsid w:val="00B6071D"/>
    <w:rsid w:val="00B61A65"/>
    <w:rsid w:val="00B61D4C"/>
    <w:rsid w:val="00B638A1"/>
    <w:rsid w:val="00B74E78"/>
    <w:rsid w:val="00B760FA"/>
    <w:rsid w:val="00B766BA"/>
    <w:rsid w:val="00B76A98"/>
    <w:rsid w:val="00B76C3F"/>
    <w:rsid w:val="00B778DF"/>
    <w:rsid w:val="00B77B07"/>
    <w:rsid w:val="00B878F1"/>
    <w:rsid w:val="00B903EF"/>
    <w:rsid w:val="00B9423F"/>
    <w:rsid w:val="00B95418"/>
    <w:rsid w:val="00B95971"/>
    <w:rsid w:val="00B959CF"/>
    <w:rsid w:val="00B96EAE"/>
    <w:rsid w:val="00B96F0F"/>
    <w:rsid w:val="00B9722C"/>
    <w:rsid w:val="00B9762E"/>
    <w:rsid w:val="00BA0670"/>
    <w:rsid w:val="00BA21AA"/>
    <w:rsid w:val="00BA2D10"/>
    <w:rsid w:val="00BA4357"/>
    <w:rsid w:val="00BA62F9"/>
    <w:rsid w:val="00BA7BA4"/>
    <w:rsid w:val="00BB57F4"/>
    <w:rsid w:val="00BB7B5F"/>
    <w:rsid w:val="00BB7EBA"/>
    <w:rsid w:val="00BC25A0"/>
    <w:rsid w:val="00BC2771"/>
    <w:rsid w:val="00BC2DEF"/>
    <w:rsid w:val="00BC300A"/>
    <w:rsid w:val="00BC596E"/>
    <w:rsid w:val="00BD1806"/>
    <w:rsid w:val="00BD3F35"/>
    <w:rsid w:val="00BD5D01"/>
    <w:rsid w:val="00BD7DA1"/>
    <w:rsid w:val="00BE07C2"/>
    <w:rsid w:val="00BE283F"/>
    <w:rsid w:val="00BE29B3"/>
    <w:rsid w:val="00BE3885"/>
    <w:rsid w:val="00BE5D5F"/>
    <w:rsid w:val="00BE5DFC"/>
    <w:rsid w:val="00BE5F92"/>
    <w:rsid w:val="00BE60DD"/>
    <w:rsid w:val="00BF348E"/>
    <w:rsid w:val="00BF3764"/>
    <w:rsid w:val="00BF65A3"/>
    <w:rsid w:val="00C012E9"/>
    <w:rsid w:val="00C0342D"/>
    <w:rsid w:val="00C046BD"/>
    <w:rsid w:val="00C10CCC"/>
    <w:rsid w:val="00C12A7C"/>
    <w:rsid w:val="00C157B3"/>
    <w:rsid w:val="00C16277"/>
    <w:rsid w:val="00C23D07"/>
    <w:rsid w:val="00C25A16"/>
    <w:rsid w:val="00C326DC"/>
    <w:rsid w:val="00C32B60"/>
    <w:rsid w:val="00C346BA"/>
    <w:rsid w:val="00C3553D"/>
    <w:rsid w:val="00C35A37"/>
    <w:rsid w:val="00C412F9"/>
    <w:rsid w:val="00C41819"/>
    <w:rsid w:val="00C46452"/>
    <w:rsid w:val="00C46694"/>
    <w:rsid w:val="00C553AD"/>
    <w:rsid w:val="00C56E01"/>
    <w:rsid w:val="00C56EE8"/>
    <w:rsid w:val="00C61CBD"/>
    <w:rsid w:val="00C65090"/>
    <w:rsid w:val="00C66D0C"/>
    <w:rsid w:val="00C704B1"/>
    <w:rsid w:val="00C716DB"/>
    <w:rsid w:val="00C740C0"/>
    <w:rsid w:val="00C776D2"/>
    <w:rsid w:val="00C778F2"/>
    <w:rsid w:val="00C81B2D"/>
    <w:rsid w:val="00C81F4C"/>
    <w:rsid w:val="00C85625"/>
    <w:rsid w:val="00C86237"/>
    <w:rsid w:val="00C87A5E"/>
    <w:rsid w:val="00C911B9"/>
    <w:rsid w:val="00C921B1"/>
    <w:rsid w:val="00C9329F"/>
    <w:rsid w:val="00C961BA"/>
    <w:rsid w:val="00CA1000"/>
    <w:rsid w:val="00CA18C2"/>
    <w:rsid w:val="00CA272E"/>
    <w:rsid w:val="00CA2E2B"/>
    <w:rsid w:val="00CA3A65"/>
    <w:rsid w:val="00CA46F9"/>
    <w:rsid w:val="00CA573C"/>
    <w:rsid w:val="00CA5A60"/>
    <w:rsid w:val="00CA6457"/>
    <w:rsid w:val="00CB0C8C"/>
    <w:rsid w:val="00CB1C0A"/>
    <w:rsid w:val="00CB625B"/>
    <w:rsid w:val="00CB7370"/>
    <w:rsid w:val="00CC23AD"/>
    <w:rsid w:val="00CC29AB"/>
    <w:rsid w:val="00CC3535"/>
    <w:rsid w:val="00CC3ACC"/>
    <w:rsid w:val="00CC662B"/>
    <w:rsid w:val="00CC666A"/>
    <w:rsid w:val="00CC6F93"/>
    <w:rsid w:val="00CC7E6E"/>
    <w:rsid w:val="00CD311E"/>
    <w:rsid w:val="00CD69EF"/>
    <w:rsid w:val="00CD7F9E"/>
    <w:rsid w:val="00CE4214"/>
    <w:rsid w:val="00CE504F"/>
    <w:rsid w:val="00CF1125"/>
    <w:rsid w:val="00CF7ED1"/>
    <w:rsid w:val="00D00924"/>
    <w:rsid w:val="00D02031"/>
    <w:rsid w:val="00D02A86"/>
    <w:rsid w:val="00D10C43"/>
    <w:rsid w:val="00D114C2"/>
    <w:rsid w:val="00D14E31"/>
    <w:rsid w:val="00D2166A"/>
    <w:rsid w:val="00D21849"/>
    <w:rsid w:val="00D24B0E"/>
    <w:rsid w:val="00D26843"/>
    <w:rsid w:val="00D32D1B"/>
    <w:rsid w:val="00D345BC"/>
    <w:rsid w:val="00D40F4A"/>
    <w:rsid w:val="00D44E74"/>
    <w:rsid w:val="00D45FCD"/>
    <w:rsid w:val="00D472D2"/>
    <w:rsid w:val="00D47B62"/>
    <w:rsid w:val="00D50B28"/>
    <w:rsid w:val="00D53A64"/>
    <w:rsid w:val="00D614EE"/>
    <w:rsid w:val="00D66521"/>
    <w:rsid w:val="00D66F8B"/>
    <w:rsid w:val="00D7394C"/>
    <w:rsid w:val="00D73C36"/>
    <w:rsid w:val="00D764AB"/>
    <w:rsid w:val="00D7695D"/>
    <w:rsid w:val="00D86D19"/>
    <w:rsid w:val="00D93B83"/>
    <w:rsid w:val="00D93C09"/>
    <w:rsid w:val="00D95FF0"/>
    <w:rsid w:val="00D97ED4"/>
    <w:rsid w:val="00DA44E9"/>
    <w:rsid w:val="00DA4F7D"/>
    <w:rsid w:val="00DA653C"/>
    <w:rsid w:val="00DA65A3"/>
    <w:rsid w:val="00DA7115"/>
    <w:rsid w:val="00DB5611"/>
    <w:rsid w:val="00DB5A1D"/>
    <w:rsid w:val="00DB7023"/>
    <w:rsid w:val="00DB7456"/>
    <w:rsid w:val="00DB7C65"/>
    <w:rsid w:val="00DC2529"/>
    <w:rsid w:val="00DC34D6"/>
    <w:rsid w:val="00DC42F7"/>
    <w:rsid w:val="00DC69CA"/>
    <w:rsid w:val="00DD26E5"/>
    <w:rsid w:val="00DD28C0"/>
    <w:rsid w:val="00DD3CFA"/>
    <w:rsid w:val="00DD7AF9"/>
    <w:rsid w:val="00DE3A1C"/>
    <w:rsid w:val="00DE60D3"/>
    <w:rsid w:val="00DE6206"/>
    <w:rsid w:val="00DF1AB9"/>
    <w:rsid w:val="00DF3BF2"/>
    <w:rsid w:val="00E006DF"/>
    <w:rsid w:val="00E017BE"/>
    <w:rsid w:val="00E01D5B"/>
    <w:rsid w:val="00E059C0"/>
    <w:rsid w:val="00E05F93"/>
    <w:rsid w:val="00E077AF"/>
    <w:rsid w:val="00E07A80"/>
    <w:rsid w:val="00E07BAB"/>
    <w:rsid w:val="00E1177C"/>
    <w:rsid w:val="00E1544B"/>
    <w:rsid w:val="00E15DD3"/>
    <w:rsid w:val="00E2273D"/>
    <w:rsid w:val="00E231C3"/>
    <w:rsid w:val="00E2350D"/>
    <w:rsid w:val="00E26100"/>
    <w:rsid w:val="00E40BBB"/>
    <w:rsid w:val="00E40D32"/>
    <w:rsid w:val="00E41A5B"/>
    <w:rsid w:val="00E43C1D"/>
    <w:rsid w:val="00E43FB5"/>
    <w:rsid w:val="00E469D2"/>
    <w:rsid w:val="00E512BE"/>
    <w:rsid w:val="00E52ED2"/>
    <w:rsid w:val="00E537F1"/>
    <w:rsid w:val="00E54610"/>
    <w:rsid w:val="00E607FE"/>
    <w:rsid w:val="00E62C03"/>
    <w:rsid w:val="00E6575A"/>
    <w:rsid w:val="00E674C2"/>
    <w:rsid w:val="00E67B46"/>
    <w:rsid w:val="00E71561"/>
    <w:rsid w:val="00E720FE"/>
    <w:rsid w:val="00E73A88"/>
    <w:rsid w:val="00E747D0"/>
    <w:rsid w:val="00E803E1"/>
    <w:rsid w:val="00E844C3"/>
    <w:rsid w:val="00E866C3"/>
    <w:rsid w:val="00E86DDE"/>
    <w:rsid w:val="00E92128"/>
    <w:rsid w:val="00E92556"/>
    <w:rsid w:val="00E92EA8"/>
    <w:rsid w:val="00E93E3E"/>
    <w:rsid w:val="00E948AF"/>
    <w:rsid w:val="00E96011"/>
    <w:rsid w:val="00EA29D5"/>
    <w:rsid w:val="00EA5209"/>
    <w:rsid w:val="00EA537E"/>
    <w:rsid w:val="00EA78DE"/>
    <w:rsid w:val="00EB08CC"/>
    <w:rsid w:val="00EB230E"/>
    <w:rsid w:val="00EB30CD"/>
    <w:rsid w:val="00EB3918"/>
    <w:rsid w:val="00EB51B2"/>
    <w:rsid w:val="00EB5E94"/>
    <w:rsid w:val="00EB70B8"/>
    <w:rsid w:val="00EB738B"/>
    <w:rsid w:val="00EC0380"/>
    <w:rsid w:val="00EC18B6"/>
    <w:rsid w:val="00EC400C"/>
    <w:rsid w:val="00EC4961"/>
    <w:rsid w:val="00EC4A00"/>
    <w:rsid w:val="00EC5CE3"/>
    <w:rsid w:val="00EC60C8"/>
    <w:rsid w:val="00EC6BF5"/>
    <w:rsid w:val="00ED1685"/>
    <w:rsid w:val="00ED1771"/>
    <w:rsid w:val="00ED1B18"/>
    <w:rsid w:val="00ED3D9A"/>
    <w:rsid w:val="00ED41E8"/>
    <w:rsid w:val="00ED4B0F"/>
    <w:rsid w:val="00ED565F"/>
    <w:rsid w:val="00ED6C87"/>
    <w:rsid w:val="00ED6CAE"/>
    <w:rsid w:val="00ED71C6"/>
    <w:rsid w:val="00EE0227"/>
    <w:rsid w:val="00EE2364"/>
    <w:rsid w:val="00EE3DA7"/>
    <w:rsid w:val="00EE6775"/>
    <w:rsid w:val="00EE693F"/>
    <w:rsid w:val="00EE6DFD"/>
    <w:rsid w:val="00EE790D"/>
    <w:rsid w:val="00EF2245"/>
    <w:rsid w:val="00EF2C11"/>
    <w:rsid w:val="00EF3BCB"/>
    <w:rsid w:val="00EF4A1B"/>
    <w:rsid w:val="00EF7415"/>
    <w:rsid w:val="00F04EA7"/>
    <w:rsid w:val="00F10209"/>
    <w:rsid w:val="00F11613"/>
    <w:rsid w:val="00F15A3E"/>
    <w:rsid w:val="00F15E16"/>
    <w:rsid w:val="00F16353"/>
    <w:rsid w:val="00F17392"/>
    <w:rsid w:val="00F17540"/>
    <w:rsid w:val="00F17EEA"/>
    <w:rsid w:val="00F21F92"/>
    <w:rsid w:val="00F2545C"/>
    <w:rsid w:val="00F25934"/>
    <w:rsid w:val="00F303D2"/>
    <w:rsid w:val="00F31181"/>
    <w:rsid w:val="00F32BA5"/>
    <w:rsid w:val="00F3300A"/>
    <w:rsid w:val="00F34495"/>
    <w:rsid w:val="00F35AEE"/>
    <w:rsid w:val="00F35E00"/>
    <w:rsid w:val="00F37C59"/>
    <w:rsid w:val="00F40343"/>
    <w:rsid w:val="00F406EF"/>
    <w:rsid w:val="00F40B3D"/>
    <w:rsid w:val="00F40F40"/>
    <w:rsid w:val="00F40FB0"/>
    <w:rsid w:val="00F423D1"/>
    <w:rsid w:val="00F424D2"/>
    <w:rsid w:val="00F433DC"/>
    <w:rsid w:val="00F45FE3"/>
    <w:rsid w:val="00F51ED1"/>
    <w:rsid w:val="00F52F63"/>
    <w:rsid w:val="00F53051"/>
    <w:rsid w:val="00F556E8"/>
    <w:rsid w:val="00F55748"/>
    <w:rsid w:val="00F55D92"/>
    <w:rsid w:val="00F5719D"/>
    <w:rsid w:val="00F60A62"/>
    <w:rsid w:val="00F61D18"/>
    <w:rsid w:val="00F62674"/>
    <w:rsid w:val="00F633CA"/>
    <w:rsid w:val="00F63887"/>
    <w:rsid w:val="00F639F7"/>
    <w:rsid w:val="00F63A98"/>
    <w:rsid w:val="00F67F81"/>
    <w:rsid w:val="00F70ACB"/>
    <w:rsid w:val="00F71ACA"/>
    <w:rsid w:val="00F728C8"/>
    <w:rsid w:val="00F736D1"/>
    <w:rsid w:val="00F82566"/>
    <w:rsid w:val="00F85D0D"/>
    <w:rsid w:val="00F91F17"/>
    <w:rsid w:val="00F94D39"/>
    <w:rsid w:val="00F95762"/>
    <w:rsid w:val="00FA13E0"/>
    <w:rsid w:val="00FA213B"/>
    <w:rsid w:val="00FA27A2"/>
    <w:rsid w:val="00FA345E"/>
    <w:rsid w:val="00FA3562"/>
    <w:rsid w:val="00FA749F"/>
    <w:rsid w:val="00FB1169"/>
    <w:rsid w:val="00FB5B59"/>
    <w:rsid w:val="00FC25FB"/>
    <w:rsid w:val="00FC65A9"/>
    <w:rsid w:val="00FC7ED4"/>
    <w:rsid w:val="00FD010E"/>
    <w:rsid w:val="00FD1BF8"/>
    <w:rsid w:val="00FD3B87"/>
    <w:rsid w:val="00FD5F04"/>
    <w:rsid w:val="00FD6F99"/>
    <w:rsid w:val="00FD7163"/>
    <w:rsid w:val="00FD7E6C"/>
    <w:rsid w:val="00FE2BBA"/>
    <w:rsid w:val="00FE37D0"/>
    <w:rsid w:val="00FE463C"/>
    <w:rsid w:val="00FE53E2"/>
    <w:rsid w:val="00FE6AED"/>
    <w:rsid w:val="00FF044A"/>
    <w:rsid w:val="00FF15B4"/>
    <w:rsid w:val="00FF46CF"/>
    <w:rsid w:val="00FF5996"/>
    <w:rsid w:val="011A60CD"/>
    <w:rsid w:val="028827A5"/>
    <w:rsid w:val="04D85F33"/>
    <w:rsid w:val="0B0E7044"/>
    <w:rsid w:val="0B621240"/>
    <w:rsid w:val="0B7B535E"/>
    <w:rsid w:val="0BC3493F"/>
    <w:rsid w:val="0EA52342"/>
    <w:rsid w:val="138D1D5C"/>
    <w:rsid w:val="13F179BB"/>
    <w:rsid w:val="17B9260F"/>
    <w:rsid w:val="17CB7886"/>
    <w:rsid w:val="1A714EE1"/>
    <w:rsid w:val="1C3A75F4"/>
    <w:rsid w:val="1F8D685B"/>
    <w:rsid w:val="231F5A1C"/>
    <w:rsid w:val="24ED620B"/>
    <w:rsid w:val="294D3F10"/>
    <w:rsid w:val="2C730195"/>
    <w:rsid w:val="30F73B34"/>
    <w:rsid w:val="31D6516E"/>
    <w:rsid w:val="33352B9D"/>
    <w:rsid w:val="351F1283"/>
    <w:rsid w:val="37A21255"/>
    <w:rsid w:val="383C50D1"/>
    <w:rsid w:val="389E23F2"/>
    <w:rsid w:val="3D7F5583"/>
    <w:rsid w:val="3FBE5A53"/>
    <w:rsid w:val="41D62BFC"/>
    <w:rsid w:val="44BC2921"/>
    <w:rsid w:val="45A30844"/>
    <w:rsid w:val="467C0EA1"/>
    <w:rsid w:val="47461E4A"/>
    <w:rsid w:val="486408BA"/>
    <w:rsid w:val="4C4B24FC"/>
    <w:rsid w:val="4F255F02"/>
    <w:rsid w:val="4F355F59"/>
    <w:rsid w:val="4F565739"/>
    <w:rsid w:val="4F770C55"/>
    <w:rsid w:val="4F79517E"/>
    <w:rsid w:val="51CF228A"/>
    <w:rsid w:val="527159B0"/>
    <w:rsid w:val="531A6B64"/>
    <w:rsid w:val="543B6596"/>
    <w:rsid w:val="563B54A1"/>
    <w:rsid w:val="56CA1EB8"/>
    <w:rsid w:val="59EB5A86"/>
    <w:rsid w:val="5B48083C"/>
    <w:rsid w:val="5BBD0E6B"/>
    <w:rsid w:val="5BFF1FE5"/>
    <w:rsid w:val="5CBD78F6"/>
    <w:rsid w:val="5DD20A4D"/>
    <w:rsid w:val="5DDF5AE7"/>
    <w:rsid w:val="5F5E3569"/>
    <w:rsid w:val="5FA62A39"/>
    <w:rsid w:val="61BE3AF3"/>
    <w:rsid w:val="62716A08"/>
    <w:rsid w:val="642C2EAF"/>
    <w:rsid w:val="64AD2180"/>
    <w:rsid w:val="683C70FF"/>
    <w:rsid w:val="683F3AEE"/>
    <w:rsid w:val="68B9703B"/>
    <w:rsid w:val="71C578FA"/>
    <w:rsid w:val="76910A57"/>
    <w:rsid w:val="76A254B3"/>
    <w:rsid w:val="784E2E4D"/>
    <w:rsid w:val="79B102D4"/>
    <w:rsid w:val="79B85A8B"/>
    <w:rsid w:val="7A0400BD"/>
    <w:rsid w:val="7A1361B3"/>
    <w:rsid w:val="7AEC944A"/>
    <w:rsid w:val="7BAE4962"/>
    <w:rsid w:val="7D897F64"/>
    <w:rsid w:val="7D8D7D41"/>
    <w:rsid w:val="7EEB3D27"/>
    <w:rsid w:val="BFDF87D6"/>
    <w:rsid w:val="CBFFFCE5"/>
    <w:rsid w:val="FEB77FDD"/>
    <w:rsid w:val="FEFA5E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szCs w:val="24"/>
    </w:rPr>
  </w:style>
  <w:style w:type="paragraph" w:styleId="3">
    <w:name w:val="annotation text"/>
    <w:basedOn w:val="1"/>
    <w:link w:val="21"/>
    <w:qFormat/>
    <w:uiPriority w:val="0"/>
    <w:pPr>
      <w:jc w:val="left"/>
    </w:pPr>
  </w:style>
  <w:style w:type="paragraph" w:styleId="4">
    <w:name w:val="Body Text"/>
    <w:basedOn w:val="1"/>
    <w:next w:val="1"/>
    <w:link w:val="32"/>
    <w:qFormat/>
    <w:uiPriority w:val="0"/>
    <w:pPr>
      <w:spacing w:after="120"/>
    </w:pPr>
  </w:style>
  <w:style w:type="paragraph" w:styleId="5">
    <w:name w:val="Body Text Indent"/>
    <w:basedOn w:val="1"/>
    <w:link w:val="22"/>
    <w:qFormat/>
    <w:uiPriority w:val="0"/>
    <w:pPr>
      <w:spacing w:after="120"/>
      <w:ind w:left="420" w:leftChars="200"/>
    </w:pPr>
    <w:rPr>
      <w:rFonts w:eastAsia="仿宋_GB2312"/>
      <w:sz w:val="32"/>
      <w:szCs w:val="20"/>
    </w:rPr>
  </w:style>
  <w:style w:type="paragraph" w:styleId="6">
    <w:name w:val="Plain Text"/>
    <w:basedOn w:val="1"/>
    <w:link w:val="23"/>
    <w:qFormat/>
    <w:uiPriority w:val="0"/>
    <w:pPr>
      <w:widowControl/>
      <w:jc w:val="left"/>
    </w:pPr>
    <w:rPr>
      <w:rFonts w:ascii="宋体" w:hAnsi="Courier New" w:cs="Courier New"/>
      <w:szCs w:val="21"/>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qFormat/>
    <w:uiPriority w:val="0"/>
    <w:pPr>
      <w:snapToGrid w:val="0"/>
      <w:jc w:val="left"/>
    </w:pPr>
    <w:rPr>
      <w:rFonts w:eastAsia="仿宋_GB2312"/>
      <w:sz w:val="18"/>
      <w:szCs w:val="32"/>
    </w:rPr>
  </w:style>
  <w:style w:type="paragraph" w:styleId="12">
    <w:name w:val="toc 2"/>
    <w:basedOn w:val="1"/>
    <w:next w:val="1"/>
    <w:unhideWhenUsed/>
    <w:qFormat/>
    <w:uiPriority w:val="0"/>
    <w:pPr>
      <w:widowControl/>
      <w:spacing w:after="100" w:line="259" w:lineRule="auto"/>
      <w:ind w:left="220"/>
      <w:jc w:val="left"/>
    </w:pPr>
    <w:rPr>
      <w:rFonts w:eastAsia="仿宋"/>
      <w:b/>
      <w:kern w:val="0"/>
      <w:sz w:val="30"/>
      <w:szCs w:val="22"/>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3"/>
    <w:next w:val="3"/>
    <w:link w:val="26"/>
    <w:qFormat/>
    <w:uiPriority w:val="0"/>
    <w:rPr>
      <w:b/>
      <w:bCs/>
    </w:rPr>
  </w:style>
  <w:style w:type="character" w:styleId="17">
    <w:name w:val="page number"/>
    <w:basedOn w:val="16"/>
    <w:qFormat/>
    <w:uiPriority w:val="0"/>
  </w:style>
  <w:style w:type="character" w:styleId="18">
    <w:name w:val="Emphasis"/>
    <w:basedOn w:val="16"/>
    <w:qFormat/>
    <w:uiPriority w:val="20"/>
    <w:rPr>
      <w:i/>
      <w:iCs/>
    </w:rPr>
  </w:style>
  <w:style w:type="character" w:styleId="19">
    <w:name w:val="Hyperlink"/>
    <w:basedOn w:val="16"/>
    <w:qFormat/>
    <w:uiPriority w:val="0"/>
    <w:rPr>
      <w:color w:val="0000FF"/>
      <w:u w:val="single"/>
    </w:rPr>
  </w:style>
  <w:style w:type="character" w:styleId="20">
    <w:name w:val="annotation reference"/>
    <w:basedOn w:val="16"/>
    <w:qFormat/>
    <w:uiPriority w:val="0"/>
    <w:rPr>
      <w:sz w:val="21"/>
      <w:szCs w:val="21"/>
    </w:rPr>
  </w:style>
  <w:style w:type="character" w:customStyle="1" w:styleId="21">
    <w:name w:val="批注文字 字符"/>
    <w:basedOn w:val="16"/>
    <w:link w:val="3"/>
    <w:qFormat/>
    <w:uiPriority w:val="0"/>
    <w:rPr>
      <w:kern w:val="2"/>
      <w:sz w:val="21"/>
      <w:szCs w:val="24"/>
    </w:rPr>
  </w:style>
  <w:style w:type="character" w:customStyle="1" w:styleId="22">
    <w:name w:val="正文文本缩进 字符"/>
    <w:basedOn w:val="16"/>
    <w:link w:val="5"/>
    <w:qFormat/>
    <w:locked/>
    <w:uiPriority w:val="0"/>
    <w:rPr>
      <w:rFonts w:eastAsia="仿宋_GB2312"/>
      <w:kern w:val="2"/>
      <w:sz w:val="32"/>
    </w:rPr>
  </w:style>
  <w:style w:type="character" w:customStyle="1" w:styleId="23">
    <w:name w:val="纯文本 字符"/>
    <w:basedOn w:val="16"/>
    <w:link w:val="6"/>
    <w:qFormat/>
    <w:uiPriority w:val="0"/>
    <w:rPr>
      <w:rFonts w:ascii="宋体" w:hAnsi="Courier New" w:eastAsia="宋体" w:cs="Courier New"/>
      <w:kern w:val="2"/>
      <w:sz w:val="21"/>
      <w:szCs w:val="21"/>
      <w:lang w:val="en-US" w:eastAsia="zh-CN" w:bidi="ar-SA"/>
    </w:rPr>
  </w:style>
  <w:style w:type="character" w:customStyle="1" w:styleId="24">
    <w:name w:val="页脚 字符"/>
    <w:link w:val="9"/>
    <w:qFormat/>
    <w:uiPriority w:val="99"/>
    <w:rPr>
      <w:kern w:val="2"/>
      <w:sz w:val="18"/>
      <w:szCs w:val="18"/>
      <w:lang w:bidi="ar-SA"/>
    </w:rPr>
  </w:style>
  <w:style w:type="character" w:customStyle="1" w:styleId="25">
    <w:name w:val="页眉 字符"/>
    <w:link w:val="10"/>
    <w:qFormat/>
    <w:uiPriority w:val="0"/>
    <w:rPr>
      <w:kern w:val="2"/>
      <w:sz w:val="18"/>
      <w:szCs w:val="18"/>
      <w:lang w:bidi="ar-SA"/>
    </w:rPr>
  </w:style>
  <w:style w:type="character" w:customStyle="1" w:styleId="26">
    <w:name w:val="批注主题 字符"/>
    <w:basedOn w:val="21"/>
    <w:link w:val="14"/>
    <w:qFormat/>
    <w:uiPriority w:val="0"/>
    <w:rPr>
      <w:b/>
      <w:bCs/>
      <w:kern w:val="2"/>
      <w:sz w:val="21"/>
      <w:szCs w:val="24"/>
    </w:rPr>
  </w:style>
  <w:style w:type="character" w:customStyle="1" w:styleId="27">
    <w:name w:val="正文文本缩进 Char1"/>
    <w:basedOn w:val="16"/>
    <w:qFormat/>
    <w:uiPriority w:val="0"/>
    <w:rPr>
      <w:kern w:val="2"/>
      <w:sz w:val="21"/>
      <w:szCs w:val="24"/>
    </w:rPr>
  </w:style>
  <w:style w:type="paragraph" w:customStyle="1" w:styleId="28">
    <w:name w:val="样式1"/>
    <w:basedOn w:val="1"/>
    <w:qFormat/>
    <w:uiPriority w:val="0"/>
    <w:rPr>
      <w:rFonts w:eastAsia="仿宋_GB2312" w:cs="Georgia"/>
      <w:sz w:val="32"/>
    </w:rPr>
  </w:style>
  <w:style w:type="paragraph" w:customStyle="1" w:styleId="29">
    <w:name w:val="Char1"/>
    <w:basedOn w:val="1"/>
    <w:qFormat/>
    <w:uiPriority w:val="0"/>
    <w:rPr>
      <w:szCs w:val="20"/>
    </w:rPr>
  </w:style>
  <w:style w:type="paragraph" w:customStyle="1" w:styleId="30">
    <w:name w:val="_Style 41"/>
    <w:basedOn w:val="1"/>
    <w:qFormat/>
    <w:uiPriority w:val="0"/>
    <w:pPr>
      <w:tabs>
        <w:tab w:val="left" w:pos="360"/>
      </w:tabs>
    </w:pPr>
    <w:rPr>
      <w:szCs w:val="20"/>
    </w:rPr>
  </w:style>
  <w:style w:type="character" w:customStyle="1" w:styleId="31">
    <w:name w:val="lh22px1"/>
    <w:basedOn w:val="16"/>
    <w:qFormat/>
    <w:uiPriority w:val="0"/>
    <w:rPr>
      <w:rFonts w:hint="eastAsia" w:ascii="宋体" w:hAnsi="宋体" w:eastAsia="宋体"/>
      <w:sz w:val="21"/>
      <w:szCs w:val="21"/>
    </w:rPr>
  </w:style>
  <w:style w:type="character" w:customStyle="1" w:styleId="32">
    <w:name w:val="正文文本 字符"/>
    <w:basedOn w:val="16"/>
    <w:link w:val="4"/>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EE52ED-048D-48F8-9E85-D9303B336C6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44</Pages>
  <Words>3784</Words>
  <Characters>21571</Characters>
  <Lines>179</Lines>
  <Paragraphs>50</Paragraphs>
  <TotalTime>67</TotalTime>
  <ScaleCrop>false</ScaleCrop>
  <LinksUpToDate>false</LinksUpToDate>
  <CharactersWithSpaces>25305</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2023-02-11T04:16:00Z</dcterms:created>
  <dc:creator>微软用户</dc:creator>
  <cp:lastModifiedBy>f'g</cp:lastModifiedBy>
  <cp:lastPrinted>2024-04-11T07:30:00Z</cp:lastPrinted>
  <dcterms:modified xsi:type="dcterms:W3CDTF">2025-06-23T03:20:58Z</dcterms:modified>
  <dc:title>成都市温江区人民政府办公室</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F0A12C2839FF4EAFBBC1DE7EE5DC2977_13</vt:lpwstr>
  </property>
</Properties>
</file>