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8" w:lineRule="exact"/>
        <w:textAlignment w:val="auto"/>
        <w:rPr>
          <w:rFonts w:hint="default" w:ascii="Times New Roman" w:hAnsi="Times New Roman" w:eastAsia="方正黑体简体" w:cs="Times New Roman"/>
          <w:b w:val="0"/>
          <w:bCs w:val="0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方正黑体简体" w:cs="Times New Roman"/>
          <w:b w:val="0"/>
          <w:bCs w:val="0"/>
          <w:color w:val="000000"/>
          <w:kern w:val="2"/>
          <w:sz w:val="32"/>
          <w:szCs w:val="32"/>
          <w:highlight w:val="none"/>
          <w:lang w:val="en-US" w:eastAsia="zh-CN" w:bidi="ar-SA"/>
        </w:rPr>
        <w:t>附件1</w:t>
      </w:r>
      <w:bookmarkStart w:id="0" w:name="_GoBack"/>
      <w:bookmarkEnd w:id="0"/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8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highlight w:val="none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highlight w:val="none"/>
          <w:lang w:val="en-US" w:eastAsia="zh-CN"/>
        </w:rPr>
        <w:t>成都市温江区土地等级范围及城镇土地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8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highlight w:val="none"/>
          <w:lang w:eastAsia="zh-CN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highlight w:val="none"/>
          <w:lang w:eastAsia="zh-CN"/>
        </w:rPr>
        <w:t>使用税税额标准表</w:t>
      </w:r>
    </w:p>
    <w:p>
      <w:pPr>
        <w:spacing w:line="240" w:lineRule="auto"/>
        <w:jc w:val="left"/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240" w:lineRule="auto"/>
        <w:jc w:val="right"/>
        <w:textAlignment w:val="auto"/>
        <w:rPr>
          <w:rFonts w:hint="default" w:ascii="Times New Roman" w:hAnsi="Times New Roman" w:eastAsia="方正仿宋简体" w:cs="Times New Roman"/>
          <w:b w:val="0"/>
          <w:bCs w:val="0"/>
          <w:sz w:val="30"/>
          <w:szCs w:val="30"/>
          <w:highlight w:val="none"/>
        </w:rPr>
      </w:pP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z w:val="30"/>
          <w:szCs w:val="30"/>
          <w:highlight w:val="none"/>
          <w:lang w:val="en-US" w:eastAsia="zh-CN"/>
        </w:rPr>
        <w:t>税额标准单位：元/每年每平方米</w:t>
      </w:r>
    </w:p>
    <w:tbl>
      <w:tblPr>
        <w:tblStyle w:val="4"/>
        <w:tblW w:w="948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6"/>
        <w:gridCol w:w="1356"/>
        <w:gridCol w:w="1492"/>
        <w:gridCol w:w="52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35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黑体简体" w:hAnsi="方正黑体简体" w:eastAsia="方正黑体简体" w:cs="方正黑体简体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方正黑体简体" w:hAnsi="方正黑体简体" w:eastAsia="方正黑体简体" w:cs="方正黑体简体"/>
                <w:b w:val="0"/>
                <w:bCs w:val="0"/>
                <w:color w:val="auto"/>
                <w:sz w:val="22"/>
                <w:szCs w:val="22"/>
                <w:highlight w:val="none"/>
              </w:rPr>
              <w:t>土地等级</w:t>
            </w:r>
          </w:p>
        </w:tc>
        <w:tc>
          <w:tcPr>
            <w:tcW w:w="135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黑体简体" w:hAnsi="方正黑体简体" w:eastAsia="方正黑体简体" w:cs="方正黑体简体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方正黑体简体" w:hAnsi="方正黑体简体" w:eastAsia="方正黑体简体" w:cs="方正黑体简体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税额标准</w:t>
            </w:r>
          </w:p>
        </w:tc>
        <w:tc>
          <w:tcPr>
            <w:tcW w:w="1492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黑体简体" w:hAnsi="方正黑体简体" w:eastAsia="方正黑体简体" w:cs="方正黑体简体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方正黑体简体" w:hAnsi="方正黑体简体" w:eastAsia="方正黑体简体" w:cs="方正黑体简体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土地类型</w:t>
            </w:r>
          </w:p>
        </w:tc>
        <w:tc>
          <w:tcPr>
            <w:tcW w:w="5279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黑体简体" w:hAnsi="方正黑体简体" w:eastAsia="方正黑体简体" w:cs="方正黑体简体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方正黑体简体" w:hAnsi="方正黑体简体" w:eastAsia="方正黑体简体" w:cs="方正黑体简体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土地地域范围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3" w:hRule="atLeast"/>
          <w:jc w:val="center"/>
        </w:trPr>
        <w:tc>
          <w:tcPr>
            <w:tcW w:w="13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kern w:val="2"/>
                <w:sz w:val="24"/>
                <w:szCs w:val="3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4"/>
                <w:highlight w:val="none"/>
              </w:rPr>
              <w:t>一级</w:t>
            </w:r>
          </w:p>
        </w:tc>
        <w:tc>
          <w:tcPr>
            <w:tcW w:w="13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4"/>
                <w:highlight w:val="none"/>
              </w:rPr>
              <w:t>16</w:t>
            </w:r>
          </w:p>
        </w:tc>
        <w:tc>
          <w:tcPr>
            <w:tcW w:w="14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4"/>
                <w:highlight w:val="none"/>
                <w:lang w:eastAsia="zh-CN"/>
              </w:rPr>
              <w:t>城市土地</w:t>
            </w:r>
          </w:p>
        </w:tc>
        <w:tc>
          <w:tcPr>
            <w:tcW w:w="527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4"/>
                <w:highlight w:val="none"/>
              </w:rPr>
              <w:t>柳城街道</w:t>
            </w: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4"/>
                <w:highlight w:val="none"/>
                <w:lang w:eastAsia="zh-CN"/>
              </w:rPr>
              <w:t>：</w:t>
            </w: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4"/>
                <w:highlight w:val="none"/>
                <w:lang w:val="en-US" w:eastAsia="zh-CN"/>
              </w:rPr>
              <w:t>东至同兴东路；南至政通西路、政通东路；西至锦泉街、永兴路；北至江安河区域</w:t>
            </w: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4"/>
                <w:highlight w:val="none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4" w:hRule="atLeast"/>
          <w:jc w:val="center"/>
        </w:trPr>
        <w:tc>
          <w:tcPr>
            <w:tcW w:w="13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4"/>
                <w:highlight w:val="none"/>
              </w:rPr>
              <w:t>二级</w:t>
            </w:r>
          </w:p>
        </w:tc>
        <w:tc>
          <w:tcPr>
            <w:tcW w:w="13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4"/>
                <w:highlight w:val="none"/>
              </w:rPr>
              <w:t>12</w:t>
            </w:r>
          </w:p>
        </w:tc>
        <w:tc>
          <w:tcPr>
            <w:tcW w:w="14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4"/>
                <w:highlight w:val="none"/>
                <w:lang w:eastAsia="zh-CN"/>
              </w:rPr>
              <w:t>城市土地</w:t>
            </w:r>
          </w:p>
        </w:tc>
        <w:tc>
          <w:tcPr>
            <w:tcW w:w="527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4"/>
                <w:highlight w:val="none"/>
              </w:rPr>
              <w:t>柳城街道</w:t>
            </w: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4"/>
                <w:highlight w:val="none"/>
                <w:lang w:eastAsia="zh-CN"/>
              </w:rPr>
              <w:t>、</w:t>
            </w: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4"/>
                <w:highlight w:val="none"/>
              </w:rPr>
              <w:t>公平街道</w:t>
            </w: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4"/>
                <w:highlight w:val="none"/>
                <w:lang w:eastAsia="zh-CN"/>
              </w:rPr>
              <w:t>、涌泉街道、</w:t>
            </w: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4"/>
                <w:highlight w:val="none"/>
              </w:rPr>
              <w:t>天府街道、金马街道</w:t>
            </w: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4"/>
                <w:highlight w:val="none"/>
                <w:lang w:val="en-US" w:eastAsia="zh-CN"/>
              </w:rPr>
              <w:t>5个街道：东至与青羊区界；南至与双流区界；西至杨柳河；北至成温邛高速、与万春镇界区域（不含一级土地）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1" w:hRule="atLeast"/>
          <w:jc w:val="center"/>
        </w:trPr>
        <w:tc>
          <w:tcPr>
            <w:tcW w:w="13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4"/>
                <w:highlight w:val="none"/>
              </w:rPr>
              <w:t>三级</w:t>
            </w:r>
          </w:p>
        </w:tc>
        <w:tc>
          <w:tcPr>
            <w:tcW w:w="13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4"/>
                <w:highlight w:val="none"/>
              </w:rPr>
              <w:t>8</w:t>
            </w:r>
          </w:p>
        </w:tc>
        <w:tc>
          <w:tcPr>
            <w:tcW w:w="14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4"/>
                <w:highlight w:val="none"/>
                <w:lang w:eastAsia="zh-CN"/>
              </w:rPr>
              <w:t>城市土地</w:t>
            </w:r>
          </w:p>
        </w:tc>
        <w:tc>
          <w:tcPr>
            <w:tcW w:w="527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4"/>
                <w:highlight w:val="none"/>
              </w:rPr>
              <w:t>柳城街道</w:t>
            </w: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4"/>
                <w:highlight w:val="none"/>
                <w:lang w:eastAsia="zh-CN"/>
              </w:rPr>
              <w:t>其他区域</w:t>
            </w: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4"/>
                <w:highlight w:val="none"/>
                <w:lang w:val="en-US" w:eastAsia="zh-CN"/>
              </w:rPr>
              <w:t>（不含一级、二级土地）；</w:t>
            </w: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4"/>
                <w:highlight w:val="none"/>
              </w:rPr>
              <w:t>公平街道</w:t>
            </w: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4"/>
                <w:highlight w:val="none"/>
                <w:lang w:eastAsia="zh-CN"/>
              </w:rPr>
              <w:t>、涌泉街道、</w:t>
            </w: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4"/>
                <w:highlight w:val="none"/>
              </w:rPr>
              <w:t>天府街道、金马街道</w:t>
            </w: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4"/>
                <w:highlight w:val="none"/>
                <w:lang w:val="en-US" w:eastAsia="zh-CN"/>
              </w:rPr>
              <w:t>4个街道</w:t>
            </w: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4"/>
                <w:highlight w:val="none"/>
                <w:lang w:eastAsia="zh-CN"/>
              </w:rPr>
              <w:t>其他区域</w:t>
            </w: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4"/>
                <w:highlight w:val="none"/>
                <w:lang w:val="en-US" w:eastAsia="zh-CN"/>
              </w:rPr>
              <w:t>（不含二级土地）；</w:t>
            </w: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4"/>
                <w:highlight w:val="none"/>
              </w:rPr>
              <w:t>永宁街道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" w:hRule="atLeast"/>
          <w:jc w:val="center"/>
        </w:trPr>
        <w:tc>
          <w:tcPr>
            <w:tcW w:w="13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4"/>
                <w:highlight w:val="none"/>
              </w:rPr>
              <w:t>四级</w:t>
            </w:r>
          </w:p>
        </w:tc>
        <w:tc>
          <w:tcPr>
            <w:tcW w:w="13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4"/>
                <w:highlight w:val="none"/>
              </w:rPr>
              <w:t>6</w:t>
            </w:r>
          </w:p>
        </w:tc>
        <w:tc>
          <w:tcPr>
            <w:tcW w:w="14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4"/>
                <w:highlight w:val="none"/>
                <w:lang w:eastAsia="zh-CN"/>
              </w:rPr>
              <w:t>建制镇土地</w:t>
            </w:r>
          </w:p>
        </w:tc>
        <w:tc>
          <w:tcPr>
            <w:tcW w:w="527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4"/>
                <w:highlight w:val="none"/>
              </w:rPr>
              <w:t>万春镇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6" w:hRule="atLeast"/>
          <w:jc w:val="center"/>
        </w:trPr>
        <w:tc>
          <w:tcPr>
            <w:tcW w:w="13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4"/>
                <w:highlight w:val="none"/>
              </w:rPr>
              <w:t>五级</w:t>
            </w:r>
          </w:p>
        </w:tc>
        <w:tc>
          <w:tcPr>
            <w:tcW w:w="13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4"/>
                <w:highlight w:val="none"/>
              </w:rPr>
              <w:t>4</w:t>
            </w:r>
          </w:p>
        </w:tc>
        <w:tc>
          <w:tcPr>
            <w:tcW w:w="14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4"/>
                <w:highlight w:val="none"/>
                <w:lang w:eastAsia="zh-CN"/>
              </w:rPr>
              <w:t>建制镇土地</w:t>
            </w:r>
          </w:p>
        </w:tc>
        <w:tc>
          <w:tcPr>
            <w:tcW w:w="527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4"/>
                <w:highlight w:val="none"/>
              </w:rPr>
              <w:t>和盛镇、寿安镇</w:t>
            </w:r>
          </w:p>
        </w:tc>
      </w:tr>
    </w:tbl>
    <w:p>
      <w:pP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</w:p>
    <w:p>
      <w:pPr>
        <w:ind w:firstLine="640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黑体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QxYjE1YjFiNzg3MWQ2MGZjNjM3NDUyYWQwZTMwYjAifQ=="/>
  </w:docVars>
  <w:rsids>
    <w:rsidRoot w:val="2F5F507B"/>
    <w:rsid w:val="2F5F5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qFormat="1"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List 4"/>
    <w:basedOn w:val="1"/>
    <w:next w:val="1"/>
    <w:qFormat/>
    <w:uiPriority w:val="0"/>
    <w:pPr>
      <w:ind w:left="1680" w:hanging="420"/>
    </w:pPr>
    <w:rPr>
      <w:rFonts w:ascii="Times New Roman" w:hAnsi="Times New Roman" w:eastAsia="宋体" w:cs="Times New Roman"/>
    </w:rPr>
  </w:style>
  <w:style w:type="paragraph" w:styleId="3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283</Words>
  <Characters>285</Characters>
  <Lines>0</Lines>
  <Paragraphs>0</Paragraphs>
  <TotalTime>0</TotalTime>
  <ScaleCrop>false</ScaleCrop>
  <LinksUpToDate>false</LinksUpToDate>
  <CharactersWithSpaces>287</CharactersWithSpaces>
  <Application>WPS Office_11.1.0.13012_F1E327BC-269C-435d-A152-05C5408002CA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2026-06-30T08:30:00Z</dcterms:created>
  <dc:creator>joa檐</dc:creator>
  <cp:lastModifiedBy>joa檐</cp:lastModifiedBy>
  <dcterms:modified xsi:type="dcterms:W3CDTF">2026-06-30T08:31:31Z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2052-11.1.0.13012</vt:lpwstr>
  </property>
  <property fmtid="{D5CDD505-2E9C-101B-9397-08002B2CF9AE}" pid="3" name="ICV">
    <vt:lpwstr>E0EC023A49544E99981AF5B6585B014E</vt:lpwstr>
  </property>
</Properties>
</file>